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1611201"/>
    <w:bookmarkStart w:id="1" w:name="_GoBack"/>
    <w:bookmarkEnd w:id="0"/>
    <w:bookmarkEnd w:id="1"/>
    <w:p w14:paraId="0B090A94" w14:textId="77777777" w:rsidR="003D79AD" w:rsidRDefault="00B70C9A" w:rsidP="003D79AD">
      <w:pPr>
        <w:rPr>
          <w:lang w:eastAsia="ar-SA"/>
        </w:rPr>
      </w:pPr>
      <w:r>
        <w:rPr>
          <w:noProof/>
        </w:rPr>
        <mc:AlternateContent>
          <mc:Choice Requires="wpg">
            <w:drawing>
              <wp:anchor distT="0" distB="0" distL="114300" distR="114300" simplePos="0" relativeHeight="251667968" behindDoc="0" locked="1" layoutInCell="1" allowOverlap="1" wp14:anchorId="112E4374" wp14:editId="36DE6640">
                <wp:simplePos x="0" y="0"/>
                <wp:positionH relativeFrom="page">
                  <wp:posOffset>571500</wp:posOffset>
                </wp:positionH>
                <wp:positionV relativeFrom="page">
                  <wp:posOffset>466725</wp:posOffset>
                </wp:positionV>
                <wp:extent cx="2249805" cy="554355"/>
                <wp:effectExtent l="0" t="0" r="0" b="0"/>
                <wp:wrapSquare wrapText="bothSides"/>
                <wp:docPr id="54" name="Skupina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55"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E11353" id="Skupina 54" o:spid="_x0000_s1026" style="position:absolute;margin-left:45pt;margin-top:36.75pt;width:177.15pt;height:43.65pt;z-index:25166796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4294967291" distB="4294967291" distL="114300" distR="114300" simplePos="0" relativeHeight="251663872" behindDoc="0" locked="1" layoutInCell="0" allowOverlap="1" wp14:anchorId="0D056611" wp14:editId="23295239">
                <wp:simplePos x="0" y="0"/>
                <wp:positionH relativeFrom="page">
                  <wp:posOffset>1710055</wp:posOffset>
                </wp:positionH>
                <wp:positionV relativeFrom="page">
                  <wp:posOffset>9361169</wp:posOffset>
                </wp:positionV>
                <wp:extent cx="5130165" cy="0"/>
                <wp:effectExtent l="0" t="0" r="13335" b="19050"/>
                <wp:wrapNone/>
                <wp:docPr id="53" name="Přímá spojnic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C682CE" id="Přímá spojnice 53" o:spid="_x0000_s1026" style="position:absolute;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PJ3AEAAI8DAAAOAAAAZHJzL2Uyb0RvYy54bWysU0tu2zAQ3RfoHQjua8kOnB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UF&#10;Zw4s9Wj7+8fjL/v4k2HwXx0JZISRUWPAhuKv3TbmUsXk7sKtF9+QsOoZmA8YDmGTijaHU61sKsbv&#10;z8bLKTFBl8v5RT2/XHI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qbtPJ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Pr>
          <w:noProof/>
        </w:rPr>
        <mc:AlternateContent>
          <mc:Choice Requires="wps">
            <w:drawing>
              <wp:anchor distT="0" distB="0" distL="114300" distR="114300" simplePos="0" relativeHeight="251665920" behindDoc="0" locked="1" layoutInCell="1" allowOverlap="1" wp14:anchorId="03442974" wp14:editId="00C06182">
                <wp:simplePos x="0" y="0"/>
                <wp:positionH relativeFrom="page">
                  <wp:posOffset>1664335</wp:posOffset>
                </wp:positionH>
                <wp:positionV relativeFrom="page">
                  <wp:posOffset>5614035</wp:posOffset>
                </wp:positionV>
                <wp:extent cx="5129530" cy="1686560"/>
                <wp:effectExtent l="0" t="0" r="13970" b="889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3F98" w14:textId="77777777" w:rsidR="009173E5" w:rsidRDefault="009173E5" w:rsidP="003D79AD">
                            <w:pPr>
                              <w:pStyle w:val="TLIdentifikace-sted"/>
                            </w:pPr>
                            <w:r>
                              <w:t>Lidé a společnost</w:t>
                            </w:r>
                          </w:p>
                          <w:p w14:paraId="57CE69C2" w14:textId="0F521758" w:rsidR="009173E5" w:rsidRDefault="00DF3EC8" w:rsidP="003D79AD">
                            <w:pPr>
                              <w:pStyle w:val="TLIdentifikace-sted"/>
                            </w:pPr>
                            <w:r>
                              <w:t>ČSÚ, 29</w:t>
                            </w:r>
                            <w:r w:rsidR="009173E5">
                              <w:t>. 1</w:t>
                            </w:r>
                            <w:r>
                              <w:t>. 2021</w:t>
                            </w:r>
                          </w:p>
                          <w:p w14:paraId="24BC1284" w14:textId="77777777" w:rsidR="009173E5" w:rsidRDefault="009173E5" w:rsidP="003D79AD">
                            <w:pPr>
                              <w:pStyle w:val="TLIdentifikace-sted"/>
                            </w:pPr>
                            <w:r>
                              <w:t>Kód publikace: 310034-20</w:t>
                            </w:r>
                          </w:p>
                          <w:p w14:paraId="5E1F2007" w14:textId="77777777" w:rsidR="009173E5" w:rsidRDefault="009173E5" w:rsidP="003D79AD">
                            <w:pPr>
                              <w:pStyle w:val="TLIdentifikace-sted"/>
                            </w:pPr>
                            <w:r>
                              <w:t>Pořadové číslo v roce: 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3442974" id="_x0000_t202" coordsize="21600,21600" o:spt="202" path="m,l,21600r21600,l21600,xe">
                <v:stroke joinstyle="miter"/>
                <v:path gradientshapeok="t" o:connecttype="rect"/>
              </v:shapetype>
              <v:shape id="Textové pole 52" o:spid="_x0000_s1026" type="#_x0000_t202" style="position:absolute;margin-left:131.05pt;margin-top:442.05pt;width:403.9pt;height:132.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M5uQIAALE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" filled="f" stroked="f">
                <v:textbox style="mso-fit-shape-to-text:t" inset="0,0,0,0">
                  <w:txbxContent>
                    <w:p w14:paraId="18823F98" w14:textId="77777777" w:rsidR="009173E5" w:rsidRDefault="009173E5" w:rsidP="003D79AD">
                      <w:pPr>
                        <w:pStyle w:val="TLIdentifikace-sted"/>
                      </w:pPr>
                      <w:r>
                        <w:t>Lidé a společnost</w:t>
                      </w:r>
                    </w:p>
                    <w:p w14:paraId="57CE69C2" w14:textId="0F521758" w:rsidR="009173E5" w:rsidRDefault="00DF3EC8" w:rsidP="003D79AD">
                      <w:pPr>
                        <w:pStyle w:val="TLIdentifikace-sted"/>
                      </w:pPr>
                      <w:r>
                        <w:t>ČSÚ, 29</w:t>
                      </w:r>
                      <w:r w:rsidR="009173E5">
                        <w:t>. 1</w:t>
                      </w:r>
                      <w:r>
                        <w:t>. 2021</w:t>
                      </w:r>
                    </w:p>
                    <w:p w14:paraId="24BC1284" w14:textId="77777777" w:rsidR="009173E5" w:rsidRDefault="009173E5" w:rsidP="003D79AD">
                      <w:pPr>
                        <w:pStyle w:val="TLIdentifikace-sted"/>
                      </w:pPr>
                      <w:r>
                        <w:t>Kód publikace: 310034-20</w:t>
                      </w:r>
                    </w:p>
                    <w:p w14:paraId="5E1F2007" w14:textId="77777777" w:rsidR="009173E5" w:rsidRDefault="009173E5" w:rsidP="003D79AD">
                      <w:pPr>
                        <w:pStyle w:val="TLIdentifikace-sted"/>
                      </w:pPr>
                      <w:r>
                        <w:t>Pořadové číslo v roce: 1</w:t>
                      </w:r>
                    </w:p>
                  </w:txbxContent>
                </v:textbox>
                <w10:wrap anchorx="page" anchory="page"/>
                <w10:anchorlock/>
              </v:shape>
            </w:pict>
          </mc:Fallback>
        </mc:AlternateContent>
      </w:r>
      <w:r>
        <w:rPr>
          <w:noProof/>
        </w:rPr>
        <mc:AlternateContent>
          <mc:Choice Requires="wps">
            <w:drawing>
              <wp:anchor distT="0" distB="0" distL="114300" distR="114300" simplePos="0" relativeHeight="251668992" behindDoc="0" locked="1" layoutInCell="1" allowOverlap="1" wp14:anchorId="687A543B" wp14:editId="37FE4D8D">
                <wp:simplePos x="0" y="0"/>
                <wp:positionH relativeFrom="page">
                  <wp:posOffset>1710055</wp:posOffset>
                </wp:positionH>
                <wp:positionV relativeFrom="page">
                  <wp:posOffset>9649460</wp:posOffset>
                </wp:positionV>
                <wp:extent cx="5130165" cy="179705"/>
                <wp:effectExtent l="0" t="0" r="13335" b="1079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8DD6D" w14:textId="0C40E41D" w:rsidR="009173E5" w:rsidRDefault="009173E5" w:rsidP="003D79AD">
                            <w:r>
                              <w:t>© Čes</w:t>
                            </w:r>
                            <w:r w:rsidR="00024CC0">
                              <w:t>ký statistický úřad, Praha, 2021</w:t>
                            </w:r>
                          </w:p>
                          <w:p w14:paraId="1D837EBC" w14:textId="77777777" w:rsidR="009173E5" w:rsidRDefault="009173E5" w:rsidP="003D79AD"/>
                          <w:p w14:paraId="58A1A77F" w14:textId="77777777" w:rsidR="009173E5" w:rsidRDefault="009173E5" w:rsidP="003D79AD"/>
                          <w:p w14:paraId="4CA38BA0" w14:textId="77777777" w:rsidR="009173E5" w:rsidRDefault="009173E5" w:rsidP="003D79AD"/>
                          <w:p w14:paraId="393066D2" w14:textId="77777777" w:rsidR="009173E5" w:rsidRDefault="009173E5" w:rsidP="003D79AD">
                            <w:r>
                              <w:t xml:space="preserve">© Český statistický úřad / </w:t>
                            </w:r>
                            <w:r>
                              <w:rPr>
                                <w:i/>
                              </w:rPr>
                              <w:t xml:space="preserve">Czech </w:t>
                            </w:r>
                            <w:proofErr w:type="spellStart"/>
                            <w:r>
                              <w:rPr>
                                <w:rFonts w:cs="Arial"/>
                                <w:i/>
                                <w:szCs w:val="20"/>
                              </w:rPr>
                              <w:t>Statistical</w:t>
                            </w:r>
                            <w:proofErr w:type="spellEnd"/>
                            <w:r>
                              <w:rPr>
                                <w:rFonts w:cs="Arial"/>
                                <w:i/>
                                <w:szCs w:val="20"/>
                              </w:rPr>
                              <w:t xml:space="preserve"> Office</w:t>
                            </w:r>
                            <w:r>
                              <w:t>, místo, rok vydání</w:t>
                            </w:r>
                          </w:p>
                          <w:p w14:paraId="10E55D22" w14:textId="77777777" w:rsidR="009173E5" w:rsidRDefault="009173E5" w:rsidP="003D79AD"/>
                          <w:p w14:paraId="4A32A8D5" w14:textId="77777777" w:rsidR="009173E5" w:rsidRDefault="009173E5" w:rsidP="003D79A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A543B" id="Textové pole 51" o:spid="_x0000_s1027" type="#_x0000_t202" style="position:absolute;margin-left:134.65pt;margin-top:759.8pt;width:403.95pt;height:14.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IDe&#10;ahK6AgAAtwUAAA4AAAAAAAAAAAAAAAAALgIAAGRycy9lMm9Eb2MueG1sUEsBAi0AFAAGAAgAAAAh&#10;AAdlcHfhAAAADgEAAA8AAAAAAAAAAAAAAAAAFAUAAGRycy9kb3ducmV2LnhtbFBLBQYAAAAABAAE&#10;APMAAAAiBgAAAAA=&#10;" filled="f" stroked="f">
                <v:textbox inset="0,0,0,0">
                  <w:txbxContent>
                    <w:p w14:paraId="41E8DD6D" w14:textId="0C40E41D" w:rsidR="009173E5" w:rsidRDefault="009173E5" w:rsidP="003D79AD">
                      <w:r>
                        <w:t>© Čes</w:t>
                      </w:r>
                      <w:r w:rsidR="00024CC0">
                        <w:t>ký statistický úřad, Praha, 2021</w:t>
                      </w:r>
                    </w:p>
                    <w:p w14:paraId="1D837EBC" w14:textId="77777777" w:rsidR="009173E5" w:rsidRDefault="009173E5" w:rsidP="003D79AD"/>
                    <w:p w14:paraId="58A1A77F" w14:textId="77777777" w:rsidR="009173E5" w:rsidRDefault="009173E5" w:rsidP="003D79AD"/>
                    <w:p w14:paraId="4CA38BA0" w14:textId="77777777" w:rsidR="009173E5" w:rsidRDefault="009173E5" w:rsidP="003D79AD"/>
                    <w:p w14:paraId="393066D2" w14:textId="77777777" w:rsidR="009173E5" w:rsidRDefault="009173E5" w:rsidP="003D79AD">
                      <w:r>
                        <w:t xml:space="preserve">© Český statistický úřad / </w:t>
                      </w:r>
                      <w:r>
                        <w:rPr>
                          <w:i/>
                        </w:rPr>
                        <w:t xml:space="preserve">Czech </w:t>
                      </w:r>
                      <w:proofErr w:type="spellStart"/>
                      <w:r>
                        <w:rPr>
                          <w:rFonts w:cs="Arial"/>
                          <w:i/>
                          <w:szCs w:val="20"/>
                        </w:rPr>
                        <w:t>Statistical</w:t>
                      </w:r>
                      <w:proofErr w:type="spellEnd"/>
                      <w:r>
                        <w:rPr>
                          <w:rFonts w:cs="Arial"/>
                          <w:i/>
                          <w:szCs w:val="20"/>
                        </w:rPr>
                        <w:t xml:space="preserve"> Office</w:t>
                      </w:r>
                      <w:r>
                        <w:t>, místo, rok vydání</w:t>
                      </w:r>
                    </w:p>
                    <w:p w14:paraId="10E55D22" w14:textId="77777777" w:rsidR="009173E5" w:rsidRDefault="009173E5" w:rsidP="003D79AD"/>
                    <w:p w14:paraId="4A32A8D5" w14:textId="77777777" w:rsidR="009173E5" w:rsidRDefault="009173E5" w:rsidP="003D79AD"/>
                  </w:txbxContent>
                </v:textbox>
                <w10:wrap anchorx="page" anchory="page"/>
                <w10:anchorlock/>
              </v:shape>
            </w:pict>
          </mc:Fallback>
        </mc:AlternateContent>
      </w:r>
      <w:r>
        <w:rPr>
          <w:noProof/>
        </w:rPr>
        <mc:AlternateContent>
          <mc:Choice Requires="wps">
            <w:drawing>
              <wp:anchor distT="0" distB="0" distL="114300" distR="114300" simplePos="0" relativeHeight="251666944" behindDoc="0" locked="1" layoutInCell="1" allowOverlap="1" wp14:anchorId="31F1E633" wp14:editId="5BDC2D50">
                <wp:simplePos x="0" y="0"/>
                <wp:positionH relativeFrom="page">
                  <wp:posOffset>1704975</wp:posOffset>
                </wp:positionH>
                <wp:positionV relativeFrom="page">
                  <wp:posOffset>8096250</wp:posOffset>
                </wp:positionV>
                <wp:extent cx="5130165" cy="1006475"/>
                <wp:effectExtent l="0" t="0" r="13335" b="317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5C23" w14:textId="40F924DD" w:rsidR="009173E5" w:rsidRDefault="009173E5" w:rsidP="003D79AD">
                            <w:r>
                              <w:t xml:space="preserve">Zpracoval: </w:t>
                            </w:r>
                            <w:r>
                              <w:rPr>
                                <w:rStyle w:val="input-std"/>
                                <w:rFonts w:eastAsia="MS Gothic"/>
                              </w:rPr>
                              <w:t>Odbor statistiky trhu práce a rovných příležitostí, odbor šetření v domácnostech</w:t>
                            </w:r>
                          </w:p>
                          <w:p w14:paraId="58C369E1" w14:textId="1863966F" w:rsidR="009173E5" w:rsidRDefault="009173E5" w:rsidP="003D79AD">
                            <w:r>
                              <w:t>Ředitel odboru: Dalibor Holý</w:t>
                            </w:r>
                          </w:p>
                          <w:p w14:paraId="53C18664" w14:textId="25715096" w:rsidR="009173E5" w:rsidRDefault="009173E5" w:rsidP="002E79FC">
                            <w:pPr>
                              <w:spacing w:after="0"/>
                            </w:pPr>
                            <w:r>
                              <w:t xml:space="preserve">Kontaktní osoby: Dalibor Holý, e-mail: </w:t>
                            </w:r>
                            <w:hyperlink r:id="rId8" w:history="1">
                              <w:r w:rsidRPr="00C3186F">
                                <w:rPr>
                                  <w:rStyle w:val="Hypertextovodkaz"/>
                                </w:rPr>
                                <w:t>dalibor.holy@czso.cz</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1E633" id="Textové pole 50" o:spid="_x0000_s1028" type="#_x0000_t202" style="position:absolute;margin-left:134.25pt;margin-top:637.5pt;width:403.95pt;height:79.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" filled="f" stroked="f">
                <v:textbox inset="0,0,0,0">
                  <w:txbxContent>
                    <w:p w14:paraId="21085C23" w14:textId="40F924DD" w:rsidR="009173E5" w:rsidRDefault="009173E5" w:rsidP="003D79AD">
                      <w:r>
                        <w:t xml:space="preserve">Zpracoval: </w:t>
                      </w:r>
                      <w:r>
                        <w:rPr>
                          <w:rStyle w:val="input-std"/>
                          <w:rFonts w:eastAsia="MS Gothic"/>
                        </w:rPr>
                        <w:t>Odbor statistiky trhu práce a rovných příležitostí, odbor šetření v domácnostech</w:t>
                      </w:r>
                    </w:p>
                    <w:p w14:paraId="58C369E1" w14:textId="1863966F" w:rsidR="009173E5" w:rsidRDefault="009173E5" w:rsidP="003D79AD">
                      <w:r>
                        <w:t>Ředitel odboru: Dalibor Holý</w:t>
                      </w:r>
                    </w:p>
                    <w:p w14:paraId="53C18664" w14:textId="25715096" w:rsidR="009173E5" w:rsidRDefault="009173E5" w:rsidP="002E79FC">
                      <w:pPr>
                        <w:spacing w:after="0"/>
                      </w:pPr>
                      <w:r>
                        <w:t xml:space="preserve">Kontaktní osoby: Dalibor Holý, e-mail: </w:t>
                      </w:r>
                      <w:hyperlink r:id="rId9" w:history="1">
                        <w:r w:rsidRPr="00C3186F">
                          <w:rPr>
                            <w:rStyle w:val="Hypertextovodkaz"/>
                          </w:rPr>
                          <w:t>dalibor.holy@czso.cz</w:t>
                        </w:r>
                      </w:hyperlink>
                    </w:p>
                  </w:txbxContent>
                </v:textbox>
                <w10:wrap anchorx="page" anchory="page"/>
                <w10:anchorlock/>
              </v:shape>
            </w:pict>
          </mc:Fallback>
        </mc:AlternateContent>
      </w:r>
      <w:r>
        <w:rPr>
          <w:noProof/>
        </w:rPr>
        <mc:AlternateContent>
          <mc:Choice Requires="wps">
            <w:drawing>
              <wp:anchor distT="0" distB="0" distL="114300" distR="114300" simplePos="0" relativeHeight="251664896" behindDoc="0" locked="1" layoutInCell="1" allowOverlap="1" wp14:anchorId="650A77A9" wp14:editId="784B4BC6">
                <wp:simplePos x="0" y="0"/>
                <wp:positionH relativeFrom="page">
                  <wp:posOffset>1605280</wp:posOffset>
                </wp:positionH>
                <wp:positionV relativeFrom="page">
                  <wp:posOffset>2362200</wp:posOffset>
                </wp:positionV>
                <wp:extent cx="5129530" cy="1962785"/>
                <wp:effectExtent l="0" t="0" r="13970" b="1841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96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3A31" w14:textId="44A104B3" w:rsidR="009173E5" w:rsidRDefault="009173E5" w:rsidP="003D79AD">
                            <w:pPr>
                              <w:pStyle w:val="Nzev"/>
                            </w:pPr>
                            <w:r>
                              <w:t>senioŘI v ČR v datech</w:t>
                            </w:r>
                            <w:r>
                              <w:br/>
                            </w:r>
                          </w:p>
                          <w:p w14:paraId="1804E9C7" w14:textId="77777777" w:rsidR="009173E5" w:rsidRDefault="009173E5" w:rsidP="003D79AD">
                            <w:pPr>
                              <w:pStyle w:val="Podnadpis"/>
                            </w:pPr>
                            <w: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0A77A9" id="_x0000_t202" coordsize="21600,21600" o:spt="202" path="m,l,21600r21600,l21600,xe">
                <v:stroke joinstyle="miter"/>
                <v:path gradientshapeok="t" o:connecttype="rect"/>
              </v:shapetype>
              <v:shape id="Textové pole 49" o:spid="_x0000_s1029" type="#_x0000_t202" style="position:absolute;margin-left:126.4pt;margin-top:186pt;width:403.9pt;height:15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jpuwIAALg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" filled="f" stroked="f">
                <v:textbox style="mso-fit-shape-to-text:t" inset="0,0,0,0">
                  <w:txbxContent>
                    <w:p w14:paraId="24783A31" w14:textId="44A104B3" w:rsidR="009173E5" w:rsidRDefault="009173E5" w:rsidP="003D79AD">
                      <w:pPr>
                        <w:pStyle w:val="Nzev"/>
                      </w:pPr>
                      <w:r>
                        <w:t>senioŘI v ČR v datech</w:t>
                      </w:r>
                      <w:bookmarkStart w:id="2" w:name="_GoBack"/>
                      <w:bookmarkEnd w:id="2"/>
                      <w:r>
                        <w:br/>
                      </w:r>
                    </w:p>
                    <w:p w14:paraId="1804E9C7" w14:textId="77777777" w:rsidR="009173E5" w:rsidRDefault="009173E5" w:rsidP="003D79AD">
                      <w:pPr>
                        <w:pStyle w:val="Podnadpis"/>
                      </w:pPr>
                      <w:r>
                        <w:t>2020</w:t>
                      </w:r>
                    </w:p>
                  </w:txbxContent>
                </v:textbox>
                <w10:wrap anchorx="page" anchory="page"/>
                <w10:anchorlock/>
              </v:shape>
            </w:pict>
          </mc:Fallback>
        </mc:AlternateContent>
      </w:r>
      <w:r w:rsidR="003D79AD">
        <w:br w:type="page"/>
      </w:r>
      <w:r w:rsidR="003D79AD">
        <w:lastRenderedPageBreak/>
        <w:br w:type="page"/>
      </w:r>
      <w:r>
        <w:rPr>
          <w:noProof/>
        </w:rPr>
        <mc:AlternateContent>
          <mc:Choice Requires="wps">
            <w:drawing>
              <wp:anchor distT="0" distB="0" distL="114300" distR="114300" simplePos="0" relativeHeight="251670016" behindDoc="0" locked="1" layoutInCell="1" allowOverlap="1" wp14:anchorId="7FD35C7E" wp14:editId="6A904E20">
                <wp:simplePos x="0" y="0"/>
                <wp:positionH relativeFrom="page">
                  <wp:posOffset>723900</wp:posOffset>
                </wp:positionH>
                <wp:positionV relativeFrom="page">
                  <wp:posOffset>1440180</wp:posOffset>
                </wp:positionV>
                <wp:extent cx="6119495" cy="7436485"/>
                <wp:effectExtent l="0" t="0" r="14605" b="1206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43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666F" w14:textId="77777777" w:rsidR="009173E5" w:rsidRDefault="009173E5" w:rsidP="003D79AD">
                            <w:pPr>
                              <w:pStyle w:val="TLKontaktyerven"/>
                            </w:pPr>
                            <w:r>
                              <w:t>KONTAKTY V ÚSTŘEDÍ</w:t>
                            </w:r>
                          </w:p>
                          <w:p w14:paraId="1F0761B4" w14:textId="77777777" w:rsidR="009173E5" w:rsidRDefault="009173E5" w:rsidP="003D79AD">
                            <w:pPr>
                              <w:pStyle w:val="TLKontakty"/>
                              <w:spacing w:after="80" w:line="240" w:lineRule="auto"/>
                              <w:rPr>
                                <w:b w:val="0"/>
                                <w:color w:val="auto"/>
                              </w:rPr>
                            </w:pPr>
                            <w:r>
                              <w:t>Český statistický úřad</w:t>
                            </w:r>
                            <w:r>
                              <w:rPr>
                                <w:b w:val="0"/>
                                <w:color w:val="auto"/>
                              </w:rPr>
                              <w:t xml:space="preserve"> | Na padesátém 81, 100 82 Praha 10, tel.: 274 051 111 | </w:t>
                            </w:r>
                            <w:r>
                              <w:rPr>
                                <w:color w:val="auto"/>
                              </w:rPr>
                              <w:t>www.czso.cz</w:t>
                            </w:r>
                          </w:p>
                          <w:p w14:paraId="793C04C3" w14:textId="77777777" w:rsidR="009173E5" w:rsidRDefault="009173E5" w:rsidP="003D79AD">
                            <w:pPr>
                              <w:pStyle w:val="TLKontakty"/>
                              <w:spacing w:after="80" w:line="240" w:lineRule="auto"/>
                              <w:rPr>
                                <w:b w:val="0"/>
                                <w:color w:val="auto"/>
                              </w:rPr>
                            </w:pPr>
                            <w:r>
                              <w:rPr>
                                <w:color w:val="auto"/>
                              </w:rPr>
                              <w:t>Oddělení informačních služeb</w:t>
                            </w:r>
                            <w:r>
                              <w:rPr>
                                <w:b w:val="0"/>
                                <w:color w:val="auto"/>
                              </w:rPr>
                              <w:t xml:space="preserve"> | tel.: 274 052 304, 274 052 451 | e-mail: infoservis@czso.cz</w:t>
                            </w:r>
                          </w:p>
                          <w:p w14:paraId="0E8FACE5" w14:textId="77777777" w:rsidR="009173E5" w:rsidRDefault="009173E5" w:rsidP="003D79AD">
                            <w:pPr>
                              <w:pStyle w:val="TLKontakty"/>
                              <w:spacing w:after="80" w:line="240" w:lineRule="auto"/>
                              <w:rPr>
                                <w:b w:val="0"/>
                                <w:color w:val="auto"/>
                              </w:rPr>
                            </w:pPr>
                            <w:r>
                              <w:rPr>
                                <w:color w:val="auto"/>
                              </w:rPr>
                              <w:t>Prodejna publikací ČSÚ</w:t>
                            </w:r>
                            <w:r>
                              <w:rPr>
                                <w:b w:val="0"/>
                                <w:color w:val="auto"/>
                              </w:rPr>
                              <w:t xml:space="preserve"> | tel.: 274 052 361 | e-mail: prodejna@czso.cz</w:t>
                            </w:r>
                          </w:p>
                          <w:p w14:paraId="38E89101" w14:textId="77777777" w:rsidR="009173E5" w:rsidRDefault="009173E5" w:rsidP="003D79AD">
                            <w:pPr>
                              <w:pStyle w:val="TLKontakty"/>
                              <w:spacing w:after="80" w:line="240" w:lineRule="auto"/>
                              <w:rPr>
                                <w:b w:val="0"/>
                                <w:color w:val="auto"/>
                              </w:rPr>
                            </w:pPr>
                            <w:r>
                              <w:rPr>
                                <w:color w:val="auto"/>
                              </w:rPr>
                              <w:t>Evropská data (ESDS), mezinárodní srovnání</w:t>
                            </w:r>
                            <w:r>
                              <w:rPr>
                                <w:b w:val="0"/>
                                <w:color w:val="auto"/>
                              </w:rPr>
                              <w:t xml:space="preserve"> | tel.: 274 052 347, 274 052 757 | e-mail: esds@czso.cz</w:t>
                            </w:r>
                          </w:p>
                          <w:p w14:paraId="4D0F9599" w14:textId="77777777" w:rsidR="009173E5" w:rsidRDefault="009173E5" w:rsidP="003D79AD">
                            <w:pPr>
                              <w:pStyle w:val="TLKontakty"/>
                              <w:spacing w:after="80" w:line="240" w:lineRule="auto"/>
                              <w:rPr>
                                <w:b w:val="0"/>
                                <w:color w:val="auto"/>
                              </w:rPr>
                            </w:pPr>
                            <w:r>
                              <w:rPr>
                                <w:color w:val="auto"/>
                              </w:rPr>
                              <w:t>Ústřední statistická knihovna</w:t>
                            </w:r>
                            <w:r>
                              <w:rPr>
                                <w:b w:val="0"/>
                                <w:color w:val="auto"/>
                              </w:rPr>
                              <w:t xml:space="preserve"> | tel.: 274 052 361 | e-mail: knihovna@czso.cz</w:t>
                            </w:r>
                          </w:p>
                          <w:p w14:paraId="69EAFE4C" w14:textId="77777777" w:rsidR="009173E5" w:rsidRDefault="009173E5" w:rsidP="003D79AD">
                            <w:pPr>
                              <w:pStyle w:val="TLKontakty"/>
                              <w:spacing w:after="80" w:line="240" w:lineRule="auto"/>
                              <w:rPr>
                                <w:color w:val="auto"/>
                              </w:rPr>
                            </w:pPr>
                          </w:p>
                          <w:p w14:paraId="772AA324" w14:textId="77777777" w:rsidR="009173E5" w:rsidRDefault="009173E5" w:rsidP="003D79AD">
                            <w:pPr>
                              <w:pStyle w:val="TLKontaktyerven"/>
                            </w:pPr>
                            <w:r>
                              <w:t>INFORMAČNÍ SLUŽBY V REGIONECH</w:t>
                            </w:r>
                          </w:p>
                          <w:p w14:paraId="39C18DBF" w14:textId="77777777" w:rsidR="009173E5" w:rsidRDefault="009173E5" w:rsidP="003D79AD">
                            <w:pPr>
                              <w:pStyle w:val="TLKontakty"/>
                              <w:spacing w:after="80" w:line="240" w:lineRule="auto"/>
                              <w:rPr>
                                <w:b w:val="0"/>
                                <w:color w:val="auto"/>
                              </w:rPr>
                            </w:pPr>
                            <w:r>
                              <w:t>Hl. m. Praha</w:t>
                            </w:r>
                            <w:r>
                              <w:rPr>
                                <w:b w:val="0"/>
                                <w:color w:val="auto"/>
                              </w:rPr>
                              <w:t xml:space="preserve"> | Na padesátém 81, 100 82 Praha 10, tel.: 274 052 673, 274 054 223</w:t>
                            </w:r>
                          </w:p>
                          <w:p w14:paraId="5167A0FE" w14:textId="77777777" w:rsidR="009173E5" w:rsidRDefault="009173E5" w:rsidP="003D79AD">
                            <w:pPr>
                              <w:pStyle w:val="TLKontakty"/>
                              <w:spacing w:after="80" w:line="240" w:lineRule="auto"/>
                              <w:rPr>
                                <w:b w:val="0"/>
                                <w:color w:val="auto"/>
                              </w:rPr>
                            </w:pPr>
                            <w:r>
                              <w:rPr>
                                <w:b w:val="0"/>
                                <w:color w:val="auto"/>
                              </w:rPr>
                              <w:t xml:space="preserve">e-mail: infoservispraha@czso.cz | </w:t>
                            </w:r>
                            <w:r>
                              <w:rPr>
                                <w:color w:val="auto"/>
                              </w:rPr>
                              <w:t>www.praha.czso.cz</w:t>
                            </w:r>
                          </w:p>
                          <w:p w14:paraId="0F980A7E" w14:textId="77777777" w:rsidR="009173E5" w:rsidRDefault="009173E5" w:rsidP="003D79AD">
                            <w:pPr>
                              <w:pStyle w:val="TLKontakty"/>
                              <w:spacing w:after="80" w:line="240" w:lineRule="auto"/>
                              <w:rPr>
                                <w:color w:val="auto"/>
                              </w:rPr>
                            </w:pPr>
                          </w:p>
                          <w:p w14:paraId="56D72B8F" w14:textId="77777777" w:rsidR="009173E5" w:rsidRDefault="009173E5" w:rsidP="003D79AD">
                            <w:pPr>
                              <w:pStyle w:val="TLKontakty"/>
                              <w:spacing w:after="80" w:line="240" w:lineRule="auto"/>
                              <w:rPr>
                                <w:b w:val="0"/>
                                <w:color w:val="auto"/>
                              </w:rPr>
                            </w:pPr>
                            <w:r>
                              <w:t>Středočeský kraj</w:t>
                            </w:r>
                            <w:r>
                              <w:rPr>
                                <w:b w:val="0"/>
                                <w:color w:val="auto"/>
                              </w:rPr>
                              <w:t xml:space="preserve"> | Na padesátém 81, 100 82 Praha 10, tel.: 274 054 175</w:t>
                            </w:r>
                          </w:p>
                          <w:p w14:paraId="17AEF819" w14:textId="77777777" w:rsidR="009173E5" w:rsidRDefault="009173E5" w:rsidP="003D79AD">
                            <w:pPr>
                              <w:pStyle w:val="TLKontakty"/>
                              <w:spacing w:after="80" w:line="240" w:lineRule="auto"/>
                              <w:rPr>
                                <w:color w:val="auto"/>
                              </w:rPr>
                            </w:pPr>
                            <w:r>
                              <w:rPr>
                                <w:b w:val="0"/>
                                <w:color w:val="auto"/>
                              </w:rPr>
                              <w:t xml:space="preserve">e-mail: infoservisstc@czso.cz | </w:t>
                            </w:r>
                            <w:r>
                              <w:rPr>
                                <w:color w:val="auto"/>
                              </w:rPr>
                              <w:t>www.stredocesky.czso.cz</w:t>
                            </w:r>
                          </w:p>
                          <w:p w14:paraId="2E70A72F" w14:textId="77777777" w:rsidR="009173E5" w:rsidRDefault="009173E5" w:rsidP="003D79AD">
                            <w:pPr>
                              <w:pStyle w:val="TLKontakty"/>
                              <w:spacing w:after="80" w:line="240" w:lineRule="auto"/>
                              <w:rPr>
                                <w:color w:val="auto"/>
                              </w:rPr>
                            </w:pPr>
                          </w:p>
                          <w:p w14:paraId="32CA7038" w14:textId="77777777" w:rsidR="009173E5" w:rsidRDefault="009173E5" w:rsidP="003D79AD">
                            <w:pPr>
                              <w:pStyle w:val="TLKontakty"/>
                              <w:spacing w:after="80" w:line="240" w:lineRule="auto"/>
                              <w:rPr>
                                <w:b w:val="0"/>
                                <w:color w:val="auto"/>
                              </w:rPr>
                            </w:pPr>
                            <w:r>
                              <w:t>České Budějovice</w:t>
                            </w:r>
                            <w:r>
                              <w:rPr>
                                <w:b w:val="0"/>
                                <w:color w:val="auto"/>
                              </w:rPr>
                              <w:t xml:space="preserve"> | Žižkova 1, 370 77 České Budějovice, tel.: 386 718 440</w:t>
                            </w:r>
                          </w:p>
                          <w:p w14:paraId="1B3FEC63" w14:textId="77777777" w:rsidR="009173E5" w:rsidRDefault="009173E5" w:rsidP="003D79AD">
                            <w:pPr>
                              <w:pStyle w:val="TLKontakty"/>
                              <w:spacing w:after="80" w:line="240" w:lineRule="auto"/>
                              <w:rPr>
                                <w:b w:val="0"/>
                                <w:color w:val="auto"/>
                              </w:rPr>
                            </w:pPr>
                            <w:r>
                              <w:rPr>
                                <w:b w:val="0"/>
                                <w:color w:val="auto"/>
                              </w:rPr>
                              <w:t xml:space="preserve">e-mail: infoserviscb@czso.cz | </w:t>
                            </w:r>
                            <w:r>
                              <w:rPr>
                                <w:color w:val="auto"/>
                              </w:rPr>
                              <w:t>www.cbudejovice.czso.cz</w:t>
                            </w:r>
                          </w:p>
                          <w:p w14:paraId="7E5C55D9" w14:textId="77777777" w:rsidR="009173E5" w:rsidRDefault="009173E5" w:rsidP="003D79AD">
                            <w:pPr>
                              <w:pStyle w:val="TLKontakty"/>
                              <w:spacing w:after="80" w:line="240" w:lineRule="auto"/>
                              <w:rPr>
                                <w:color w:val="auto"/>
                              </w:rPr>
                            </w:pPr>
                          </w:p>
                          <w:p w14:paraId="37565567" w14:textId="77777777" w:rsidR="009173E5" w:rsidRDefault="009173E5" w:rsidP="003D79AD">
                            <w:pPr>
                              <w:pStyle w:val="TLKontakty"/>
                              <w:spacing w:after="80" w:line="240" w:lineRule="auto"/>
                              <w:rPr>
                                <w:b w:val="0"/>
                                <w:color w:val="auto"/>
                              </w:rPr>
                            </w:pPr>
                            <w:r>
                              <w:t>Plzeň</w:t>
                            </w:r>
                            <w:r>
                              <w:rPr>
                                <w:b w:val="0"/>
                                <w:color w:val="auto"/>
                              </w:rPr>
                              <w:t xml:space="preserve"> | Slovanská alej 36, 326 64 Plzeň, tel.: 377 612 108, 377 612 145</w:t>
                            </w:r>
                          </w:p>
                          <w:p w14:paraId="061715BB" w14:textId="77777777" w:rsidR="009173E5" w:rsidRDefault="009173E5" w:rsidP="003D79AD">
                            <w:pPr>
                              <w:pStyle w:val="TLKontakty"/>
                              <w:spacing w:after="80" w:line="240" w:lineRule="auto"/>
                              <w:rPr>
                                <w:b w:val="0"/>
                                <w:color w:val="auto"/>
                              </w:rPr>
                            </w:pPr>
                            <w:r>
                              <w:rPr>
                                <w:b w:val="0"/>
                                <w:color w:val="auto"/>
                              </w:rPr>
                              <w:t xml:space="preserve">e-mail: infoservisplzen@czso.cz | </w:t>
                            </w:r>
                            <w:r>
                              <w:rPr>
                                <w:color w:val="auto"/>
                              </w:rPr>
                              <w:t>www.plzen.czso.cz</w:t>
                            </w:r>
                          </w:p>
                          <w:p w14:paraId="3EA95B16" w14:textId="77777777" w:rsidR="009173E5" w:rsidRDefault="009173E5" w:rsidP="003D79AD">
                            <w:pPr>
                              <w:pStyle w:val="TLKontakty"/>
                              <w:spacing w:after="80" w:line="240" w:lineRule="auto"/>
                              <w:rPr>
                                <w:color w:val="auto"/>
                              </w:rPr>
                            </w:pPr>
                          </w:p>
                          <w:p w14:paraId="02181EA8" w14:textId="77777777" w:rsidR="009173E5" w:rsidRDefault="009173E5" w:rsidP="003D79AD">
                            <w:pPr>
                              <w:pStyle w:val="TLKontakty"/>
                              <w:spacing w:after="80" w:line="240" w:lineRule="auto"/>
                              <w:rPr>
                                <w:b w:val="0"/>
                                <w:color w:val="auto"/>
                              </w:rPr>
                            </w:pPr>
                            <w:r>
                              <w:t>Karlovy Vary</w:t>
                            </w:r>
                            <w:r>
                              <w:rPr>
                                <w:b w:val="0"/>
                                <w:color w:val="auto"/>
                              </w:rPr>
                              <w:t xml:space="preserve"> | Závodní 360/94, 360 06 Karlovy Vary, tel.: 353 114 529, 353 114 525</w:t>
                            </w:r>
                          </w:p>
                          <w:p w14:paraId="725CC754" w14:textId="77777777" w:rsidR="009173E5" w:rsidRDefault="009173E5" w:rsidP="003D79AD">
                            <w:pPr>
                              <w:pStyle w:val="TLKontakty"/>
                              <w:spacing w:after="80" w:line="240" w:lineRule="auto"/>
                              <w:rPr>
                                <w:b w:val="0"/>
                                <w:color w:val="auto"/>
                              </w:rPr>
                            </w:pPr>
                            <w:r>
                              <w:rPr>
                                <w:b w:val="0"/>
                                <w:color w:val="auto"/>
                              </w:rPr>
                              <w:t xml:space="preserve">e-mail: infoserviskv@czso.cz | </w:t>
                            </w:r>
                            <w:r>
                              <w:rPr>
                                <w:color w:val="auto"/>
                              </w:rPr>
                              <w:t>www.kvary.czso.cz</w:t>
                            </w:r>
                          </w:p>
                          <w:p w14:paraId="6C57D97A" w14:textId="77777777" w:rsidR="009173E5" w:rsidRDefault="009173E5" w:rsidP="003D79AD">
                            <w:pPr>
                              <w:pStyle w:val="TLKontakty"/>
                              <w:spacing w:after="80" w:line="240" w:lineRule="auto"/>
                              <w:rPr>
                                <w:color w:val="auto"/>
                              </w:rPr>
                            </w:pPr>
                          </w:p>
                          <w:p w14:paraId="013F06C0" w14:textId="77777777" w:rsidR="009173E5" w:rsidRDefault="009173E5" w:rsidP="003D79AD">
                            <w:pPr>
                              <w:pStyle w:val="TLKontakty"/>
                              <w:spacing w:after="80" w:line="240" w:lineRule="auto"/>
                              <w:rPr>
                                <w:b w:val="0"/>
                                <w:color w:val="auto"/>
                              </w:rPr>
                            </w:pPr>
                            <w:r>
                              <w:t>Ústí nad Labem</w:t>
                            </w:r>
                            <w:r>
                              <w:rPr>
                                <w:b w:val="0"/>
                                <w:color w:val="auto"/>
                              </w:rPr>
                              <w:t xml:space="preserve"> | Špálova 2684, 400 11 Ústí nad Labem, tel.: 472 706 176, 472 706 121</w:t>
                            </w:r>
                          </w:p>
                          <w:p w14:paraId="69F296BD" w14:textId="77777777" w:rsidR="009173E5" w:rsidRDefault="009173E5" w:rsidP="003D79AD">
                            <w:pPr>
                              <w:pStyle w:val="TLKontakty"/>
                              <w:spacing w:after="80" w:line="240" w:lineRule="auto"/>
                              <w:rPr>
                                <w:b w:val="0"/>
                                <w:color w:val="auto"/>
                              </w:rPr>
                            </w:pPr>
                            <w:r>
                              <w:rPr>
                                <w:b w:val="0"/>
                                <w:color w:val="auto"/>
                              </w:rPr>
                              <w:t xml:space="preserve">e-mail: infoservisul@czso.cz | </w:t>
                            </w:r>
                            <w:r>
                              <w:rPr>
                                <w:color w:val="auto"/>
                              </w:rPr>
                              <w:t>www.ustinadlabem.czso.cz</w:t>
                            </w:r>
                          </w:p>
                          <w:p w14:paraId="1A8DCA33" w14:textId="77777777" w:rsidR="009173E5" w:rsidRDefault="009173E5" w:rsidP="003D79AD">
                            <w:pPr>
                              <w:pStyle w:val="TLKontakty"/>
                              <w:spacing w:after="80" w:line="240" w:lineRule="auto"/>
                              <w:rPr>
                                <w:color w:val="auto"/>
                              </w:rPr>
                            </w:pPr>
                          </w:p>
                          <w:p w14:paraId="4C92B6EE" w14:textId="77777777" w:rsidR="009173E5" w:rsidRDefault="009173E5" w:rsidP="003D79AD">
                            <w:pPr>
                              <w:pStyle w:val="TLKontakty"/>
                              <w:spacing w:after="80" w:line="240" w:lineRule="auto"/>
                              <w:rPr>
                                <w:b w:val="0"/>
                                <w:color w:val="auto"/>
                              </w:rPr>
                            </w:pPr>
                            <w:r>
                              <w:t>Liberec</w:t>
                            </w:r>
                            <w:r>
                              <w:rPr>
                                <w:b w:val="0"/>
                                <w:color w:val="auto"/>
                              </w:rPr>
                              <w:t xml:space="preserve"> | Nám. Dr. Edvarda Beneše 585/26, 460 01 Liberec 1, tel.: 485 238 811</w:t>
                            </w:r>
                          </w:p>
                          <w:p w14:paraId="3380AF57" w14:textId="77777777" w:rsidR="009173E5" w:rsidRDefault="009173E5" w:rsidP="003D79AD">
                            <w:pPr>
                              <w:pStyle w:val="TLKontakty"/>
                              <w:spacing w:after="80" w:line="240" w:lineRule="auto"/>
                              <w:rPr>
                                <w:b w:val="0"/>
                                <w:color w:val="auto"/>
                              </w:rPr>
                            </w:pPr>
                            <w:r>
                              <w:rPr>
                                <w:b w:val="0"/>
                                <w:color w:val="auto"/>
                              </w:rPr>
                              <w:t xml:space="preserve">e-mail: infoservislbc@czso.cz | </w:t>
                            </w:r>
                            <w:r>
                              <w:rPr>
                                <w:color w:val="auto"/>
                              </w:rPr>
                              <w:t>www.liberec.czso.cz</w:t>
                            </w:r>
                          </w:p>
                          <w:p w14:paraId="6AD35F24" w14:textId="77777777" w:rsidR="009173E5" w:rsidRDefault="009173E5" w:rsidP="003D79AD">
                            <w:pPr>
                              <w:pStyle w:val="TLKontakty"/>
                              <w:spacing w:after="80" w:line="240" w:lineRule="auto"/>
                              <w:rPr>
                                <w:b w:val="0"/>
                                <w:color w:val="auto"/>
                              </w:rPr>
                            </w:pPr>
                          </w:p>
                          <w:p w14:paraId="49F5CD4E" w14:textId="77777777" w:rsidR="009173E5" w:rsidRDefault="009173E5" w:rsidP="003D79AD">
                            <w:pPr>
                              <w:pStyle w:val="TLKontakty"/>
                              <w:spacing w:after="80" w:line="240" w:lineRule="auto"/>
                              <w:rPr>
                                <w:b w:val="0"/>
                                <w:color w:val="auto"/>
                              </w:rPr>
                            </w:pPr>
                            <w:r>
                              <w:t>Hradec Králové</w:t>
                            </w:r>
                            <w:r>
                              <w:rPr>
                                <w:b w:val="0"/>
                                <w:color w:val="auto"/>
                              </w:rPr>
                              <w:t xml:space="preserve"> | Myslivečkova 914, 500 03 Hradec Králové 3, tel.: 495 762 322, 495 762 317</w:t>
                            </w:r>
                          </w:p>
                          <w:p w14:paraId="75D21275" w14:textId="77777777" w:rsidR="009173E5" w:rsidRDefault="009173E5" w:rsidP="003D79AD">
                            <w:pPr>
                              <w:pStyle w:val="TLKontakty"/>
                              <w:spacing w:after="80" w:line="240" w:lineRule="auto"/>
                              <w:rPr>
                                <w:b w:val="0"/>
                                <w:color w:val="auto"/>
                              </w:rPr>
                            </w:pPr>
                            <w:r>
                              <w:rPr>
                                <w:b w:val="0"/>
                                <w:color w:val="auto"/>
                              </w:rPr>
                              <w:t xml:space="preserve">e-mail: infoservishk@czso.cz | </w:t>
                            </w:r>
                            <w:r>
                              <w:rPr>
                                <w:color w:val="auto"/>
                              </w:rPr>
                              <w:t>www.hradeckralove.czso.cz</w:t>
                            </w:r>
                          </w:p>
                          <w:p w14:paraId="171B0CA4" w14:textId="77777777" w:rsidR="009173E5" w:rsidRDefault="009173E5" w:rsidP="003D79AD">
                            <w:pPr>
                              <w:pStyle w:val="TLKontakty"/>
                              <w:spacing w:after="80" w:line="240" w:lineRule="auto"/>
                              <w:rPr>
                                <w:color w:val="auto"/>
                              </w:rPr>
                            </w:pPr>
                          </w:p>
                          <w:p w14:paraId="03C0A60E" w14:textId="77777777" w:rsidR="009173E5" w:rsidRDefault="009173E5" w:rsidP="003D79AD">
                            <w:pPr>
                              <w:pStyle w:val="TLKontakty"/>
                              <w:spacing w:after="80" w:line="240" w:lineRule="auto"/>
                              <w:rPr>
                                <w:b w:val="0"/>
                                <w:color w:val="auto"/>
                              </w:rPr>
                            </w:pPr>
                            <w:r>
                              <w:t>Pardubice</w:t>
                            </w:r>
                            <w:r>
                              <w:rPr>
                                <w:b w:val="0"/>
                                <w:color w:val="auto"/>
                              </w:rPr>
                              <w:t xml:space="preserve"> | V Ráji 872, 531 53 Pardubice, tel.: 466 743 480, 466 743 418</w:t>
                            </w:r>
                          </w:p>
                          <w:p w14:paraId="10AF1C97" w14:textId="77777777" w:rsidR="009173E5" w:rsidRDefault="009173E5" w:rsidP="003D79AD">
                            <w:pPr>
                              <w:pStyle w:val="TLKontakty"/>
                              <w:spacing w:after="80" w:line="240" w:lineRule="auto"/>
                              <w:rPr>
                                <w:b w:val="0"/>
                                <w:color w:val="auto"/>
                              </w:rPr>
                            </w:pPr>
                            <w:r>
                              <w:rPr>
                                <w:b w:val="0"/>
                                <w:color w:val="auto"/>
                              </w:rPr>
                              <w:t xml:space="preserve">e-mail: infoservispa@czso.cz | </w:t>
                            </w:r>
                            <w:r>
                              <w:rPr>
                                <w:color w:val="auto"/>
                              </w:rPr>
                              <w:t>www.pardubice.czso.cz</w:t>
                            </w:r>
                          </w:p>
                          <w:p w14:paraId="28E8747F" w14:textId="77777777" w:rsidR="009173E5" w:rsidRDefault="009173E5" w:rsidP="003D79AD">
                            <w:pPr>
                              <w:pStyle w:val="TLKontakty"/>
                              <w:spacing w:after="80" w:line="240" w:lineRule="auto"/>
                              <w:rPr>
                                <w:b w:val="0"/>
                                <w:color w:val="auto"/>
                              </w:rPr>
                            </w:pPr>
                          </w:p>
                          <w:p w14:paraId="78C9E2FB" w14:textId="77777777" w:rsidR="009173E5" w:rsidRDefault="009173E5" w:rsidP="003D79AD">
                            <w:pPr>
                              <w:pStyle w:val="TLKontakty"/>
                              <w:spacing w:after="80" w:line="240" w:lineRule="auto"/>
                              <w:rPr>
                                <w:b w:val="0"/>
                                <w:color w:val="auto"/>
                              </w:rPr>
                            </w:pPr>
                            <w:r>
                              <w:t>Jihlava</w:t>
                            </w:r>
                            <w:r>
                              <w:rPr>
                                <w:b w:val="0"/>
                                <w:color w:val="auto"/>
                              </w:rPr>
                              <w:t xml:space="preserve"> | Ke Skalce 30, 586 01 Jihlava, tel.: 567 109 062, 567 109 073</w:t>
                            </w:r>
                          </w:p>
                          <w:p w14:paraId="7415B5E2" w14:textId="77777777" w:rsidR="009173E5" w:rsidRDefault="009173E5" w:rsidP="003D79AD">
                            <w:pPr>
                              <w:pStyle w:val="TLKontakty"/>
                              <w:spacing w:after="80" w:line="240" w:lineRule="auto"/>
                              <w:rPr>
                                <w:b w:val="0"/>
                                <w:color w:val="auto"/>
                              </w:rPr>
                            </w:pPr>
                            <w:r>
                              <w:rPr>
                                <w:b w:val="0"/>
                                <w:color w:val="auto"/>
                              </w:rPr>
                              <w:t xml:space="preserve">e-mail: infoservisvys@czso.cz | </w:t>
                            </w:r>
                            <w:r>
                              <w:rPr>
                                <w:color w:val="auto"/>
                              </w:rPr>
                              <w:t>www.jihlava.czso.cz</w:t>
                            </w:r>
                          </w:p>
                          <w:p w14:paraId="7FEFA54B" w14:textId="77777777" w:rsidR="009173E5" w:rsidRDefault="009173E5" w:rsidP="003D79AD">
                            <w:pPr>
                              <w:pStyle w:val="TLKontakty"/>
                              <w:spacing w:after="80" w:line="240" w:lineRule="auto"/>
                            </w:pPr>
                          </w:p>
                          <w:p w14:paraId="27A53ABD" w14:textId="77777777" w:rsidR="009173E5" w:rsidRDefault="009173E5" w:rsidP="003D79AD">
                            <w:pPr>
                              <w:pStyle w:val="TLKontakty"/>
                              <w:spacing w:after="80" w:line="240" w:lineRule="auto"/>
                              <w:rPr>
                                <w:b w:val="0"/>
                                <w:color w:val="auto"/>
                              </w:rPr>
                            </w:pPr>
                            <w:r>
                              <w:t>Brno</w:t>
                            </w:r>
                            <w:r>
                              <w:rPr>
                                <w:b w:val="0"/>
                                <w:color w:val="auto"/>
                              </w:rPr>
                              <w:t xml:space="preserve"> | Jezuitská 2, 601 59 Brno, tel: 542 528 115, 542 528 200</w:t>
                            </w:r>
                          </w:p>
                          <w:p w14:paraId="08CB2E52" w14:textId="77777777" w:rsidR="009173E5" w:rsidRDefault="009173E5" w:rsidP="003D79AD">
                            <w:pPr>
                              <w:pStyle w:val="TLKontakty"/>
                              <w:spacing w:after="80" w:line="240" w:lineRule="auto"/>
                              <w:rPr>
                                <w:color w:val="auto"/>
                              </w:rPr>
                            </w:pPr>
                            <w:r>
                              <w:rPr>
                                <w:b w:val="0"/>
                                <w:color w:val="auto"/>
                              </w:rPr>
                              <w:t xml:space="preserve">e-mail: infoservisbrno@czso.cz | </w:t>
                            </w:r>
                            <w:r>
                              <w:rPr>
                                <w:color w:val="auto"/>
                              </w:rPr>
                              <w:t>www.brno.czso.cz</w:t>
                            </w:r>
                          </w:p>
                          <w:p w14:paraId="75BCA21A" w14:textId="77777777" w:rsidR="009173E5" w:rsidRDefault="009173E5" w:rsidP="003D79AD">
                            <w:pPr>
                              <w:pStyle w:val="TLKontakty"/>
                              <w:spacing w:after="80" w:line="240" w:lineRule="auto"/>
                              <w:rPr>
                                <w:b w:val="0"/>
                                <w:color w:val="auto"/>
                              </w:rPr>
                            </w:pPr>
                          </w:p>
                          <w:p w14:paraId="60A3C6FD" w14:textId="77777777" w:rsidR="009173E5" w:rsidRDefault="009173E5" w:rsidP="003D79AD">
                            <w:pPr>
                              <w:pStyle w:val="TLKontakty"/>
                              <w:spacing w:after="80" w:line="240" w:lineRule="auto"/>
                              <w:rPr>
                                <w:b w:val="0"/>
                                <w:color w:val="auto"/>
                              </w:rPr>
                            </w:pPr>
                            <w:r>
                              <w:t>Olomouc</w:t>
                            </w:r>
                            <w:r>
                              <w:rPr>
                                <w:b w:val="0"/>
                                <w:color w:val="auto"/>
                              </w:rPr>
                              <w:t xml:space="preserve"> | Jeremenkova 1142/42, 772 11 Olomouc, tel.: 585 731 516, 585 731 511</w:t>
                            </w:r>
                          </w:p>
                          <w:p w14:paraId="0615C862" w14:textId="77777777" w:rsidR="009173E5" w:rsidRDefault="009173E5" w:rsidP="003D79AD">
                            <w:pPr>
                              <w:pStyle w:val="TLKontakty"/>
                              <w:spacing w:after="80" w:line="240" w:lineRule="auto"/>
                              <w:rPr>
                                <w:b w:val="0"/>
                                <w:color w:val="auto"/>
                              </w:rPr>
                            </w:pPr>
                            <w:r>
                              <w:rPr>
                                <w:b w:val="0"/>
                                <w:color w:val="auto"/>
                              </w:rPr>
                              <w:t xml:space="preserve">e-mail: infoservisolom@czso.cz | </w:t>
                            </w:r>
                            <w:r>
                              <w:rPr>
                                <w:color w:val="auto"/>
                              </w:rPr>
                              <w:t>www.olomouc.czso.cz</w:t>
                            </w:r>
                          </w:p>
                          <w:p w14:paraId="0CB4FD5E" w14:textId="77777777" w:rsidR="009173E5" w:rsidRDefault="009173E5" w:rsidP="003D79AD">
                            <w:pPr>
                              <w:pStyle w:val="TLKontakty"/>
                              <w:spacing w:after="80" w:line="240" w:lineRule="auto"/>
                              <w:rPr>
                                <w:b w:val="0"/>
                                <w:color w:val="auto"/>
                              </w:rPr>
                            </w:pPr>
                          </w:p>
                          <w:p w14:paraId="1668C79B" w14:textId="77777777" w:rsidR="009173E5" w:rsidRDefault="009173E5" w:rsidP="003D79AD">
                            <w:pPr>
                              <w:pStyle w:val="TLKontakty"/>
                              <w:spacing w:after="80" w:line="240" w:lineRule="auto"/>
                              <w:rPr>
                                <w:b w:val="0"/>
                                <w:color w:val="auto"/>
                              </w:rPr>
                            </w:pPr>
                            <w:r>
                              <w:t>Zlín</w:t>
                            </w:r>
                            <w:r>
                              <w:rPr>
                                <w:b w:val="0"/>
                                <w:color w:val="auto"/>
                              </w:rPr>
                              <w:t xml:space="preserve"> | tř. Tomáše Bati 1565, 761 76 Zlín, tel.: 577 004 932, 577 004 935</w:t>
                            </w:r>
                          </w:p>
                          <w:p w14:paraId="4CBE5196" w14:textId="77777777" w:rsidR="009173E5" w:rsidRDefault="009173E5" w:rsidP="003D79AD">
                            <w:pPr>
                              <w:pStyle w:val="TLKontakty"/>
                              <w:spacing w:after="80" w:line="240" w:lineRule="auto"/>
                              <w:rPr>
                                <w:color w:val="auto"/>
                              </w:rPr>
                            </w:pPr>
                            <w:r>
                              <w:rPr>
                                <w:b w:val="0"/>
                                <w:color w:val="auto"/>
                              </w:rPr>
                              <w:t xml:space="preserve">e-mail: infoservis-zl@czso.cz | </w:t>
                            </w:r>
                            <w:r>
                              <w:rPr>
                                <w:color w:val="auto"/>
                              </w:rPr>
                              <w:t>www.zlin.czso.cz</w:t>
                            </w:r>
                          </w:p>
                          <w:p w14:paraId="3C4CBDE3" w14:textId="77777777" w:rsidR="009173E5" w:rsidRDefault="009173E5" w:rsidP="003D79AD">
                            <w:pPr>
                              <w:pStyle w:val="TLKontakty"/>
                              <w:spacing w:after="80" w:line="240" w:lineRule="auto"/>
                              <w:rPr>
                                <w:b w:val="0"/>
                                <w:color w:val="auto"/>
                              </w:rPr>
                            </w:pPr>
                          </w:p>
                          <w:p w14:paraId="671D717F" w14:textId="77777777" w:rsidR="009173E5" w:rsidRDefault="009173E5" w:rsidP="003D79AD">
                            <w:pPr>
                              <w:pStyle w:val="TLKontakty"/>
                              <w:spacing w:after="80" w:line="240" w:lineRule="auto"/>
                              <w:rPr>
                                <w:b w:val="0"/>
                                <w:color w:val="auto"/>
                              </w:rPr>
                            </w:pPr>
                            <w:r>
                              <w:t>Ostrava</w:t>
                            </w:r>
                            <w:r>
                              <w:rPr>
                                <w:b w:val="0"/>
                                <w:color w:val="auto"/>
                              </w:rPr>
                              <w:t xml:space="preserve"> | Repinova 17, 702 03 Ostrava, tel: 595 131 230, 595 131 232</w:t>
                            </w:r>
                          </w:p>
                          <w:p w14:paraId="6F9812A4" w14:textId="77777777" w:rsidR="009173E5" w:rsidRDefault="009173E5" w:rsidP="003D79AD">
                            <w:pPr>
                              <w:pStyle w:val="TLKontakty"/>
                              <w:spacing w:after="80" w:line="240" w:lineRule="auto"/>
                              <w:rPr>
                                <w:b w:val="0"/>
                                <w:color w:val="auto"/>
                              </w:rPr>
                            </w:pPr>
                            <w:r>
                              <w:rPr>
                                <w:b w:val="0"/>
                                <w:color w:val="auto"/>
                              </w:rPr>
                              <w:t xml:space="preserve">e-mail: infoservis_ov@czso.cz | </w:t>
                            </w:r>
                            <w:r>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FD35C7E" id="Textové pole 48" o:spid="_x0000_s1030" type="#_x0000_t202" style="position:absolute;margin-left:57pt;margin-top:113.4pt;width:481.85pt;height:585.5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" filled="f" stroked="f">
                <v:textbox style="mso-fit-shape-to-text:t" inset="0,0,0,0">
                  <w:txbxContent>
                    <w:p w14:paraId="1B15666F" w14:textId="77777777" w:rsidR="009173E5" w:rsidRDefault="009173E5" w:rsidP="003D79AD">
                      <w:pPr>
                        <w:pStyle w:val="TLKontaktyerven"/>
                      </w:pPr>
                      <w:r>
                        <w:t>KONTAKTY V ÚSTŘEDÍ</w:t>
                      </w:r>
                    </w:p>
                    <w:p w14:paraId="1F0761B4" w14:textId="77777777" w:rsidR="009173E5" w:rsidRDefault="009173E5" w:rsidP="003D79AD">
                      <w:pPr>
                        <w:pStyle w:val="TLKontakty"/>
                        <w:spacing w:after="80" w:line="240" w:lineRule="auto"/>
                        <w:rPr>
                          <w:b w:val="0"/>
                          <w:color w:val="auto"/>
                        </w:rPr>
                      </w:pPr>
                      <w:r>
                        <w:t>Český statistický úřad</w:t>
                      </w:r>
                      <w:r>
                        <w:rPr>
                          <w:b w:val="0"/>
                          <w:color w:val="auto"/>
                        </w:rPr>
                        <w:t xml:space="preserve"> | Na padesátém 81, 100 82 Praha 10, tel.: 274 051 111 | </w:t>
                      </w:r>
                      <w:r>
                        <w:rPr>
                          <w:color w:val="auto"/>
                        </w:rPr>
                        <w:t>www.czso.cz</w:t>
                      </w:r>
                    </w:p>
                    <w:p w14:paraId="793C04C3" w14:textId="77777777" w:rsidR="009173E5" w:rsidRDefault="009173E5" w:rsidP="003D79AD">
                      <w:pPr>
                        <w:pStyle w:val="TLKontakty"/>
                        <w:spacing w:after="80" w:line="240" w:lineRule="auto"/>
                        <w:rPr>
                          <w:b w:val="0"/>
                          <w:color w:val="auto"/>
                        </w:rPr>
                      </w:pPr>
                      <w:r>
                        <w:rPr>
                          <w:color w:val="auto"/>
                        </w:rPr>
                        <w:t>Oddělení informačních služeb</w:t>
                      </w:r>
                      <w:r>
                        <w:rPr>
                          <w:b w:val="0"/>
                          <w:color w:val="auto"/>
                        </w:rPr>
                        <w:t xml:space="preserve"> | tel.: 274 052 304, 274 052 451 | e-mail: infoservis@czso.cz</w:t>
                      </w:r>
                    </w:p>
                    <w:p w14:paraId="0E8FACE5" w14:textId="77777777" w:rsidR="009173E5" w:rsidRDefault="009173E5" w:rsidP="003D79AD">
                      <w:pPr>
                        <w:pStyle w:val="TLKontakty"/>
                        <w:spacing w:after="80" w:line="240" w:lineRule="auto"/>
                        <w:rPr>
                          <w:b w:val="0"/>
                          <w:color w:val="auto"/>
                        </w:rPr>
                      </w:pPr>
                      <w:r>
                        <w:rPr>
                          <w:color w:val="auto"/>
                        </w:rPr>
                        <w:t>Prodejna publikací ČSÚ</w:t>
                      </w:r>
                      <w:r>
                        <w:rPr>
                          <w:b w:val="0"/>
                          <w:color w:val="auto"/>
                        </w:rPr>
                        <w:t xml:space="preserve"> | tel.: 274 052 361 | e-mail: prodejna@czso.cz</w:t>
                      </w:r>
                    </w:p>
                    <w:p w14:paraId="38E89101" w14:textId="77777777" w:rsidR="009173E5" w:rsidRDefault="009173E5" w:rsidP="003D79AD">
                      <w:pPr>
                        <w:pStyle w:val="TLKontakty"/>
                        <w:spacing w:after="80" w:line="240" w:lineRule="auto"/>
                        <w:rPr>
                          <w:b w:val="0"/>
                          <w:color w:val="auto"/>
                        </w:rPr>
                      </w:pPr>
                      <w:r>
                        <w:rPr>
                          <w:color w:val="auto"/>
                        </w:rPr>
                        <w:t>Evropská data (ESDS), mezinárodní srovnání</w:t>
                      </w:r>
                      <w:r>
                        <w:rPr>
                          <w:b w:val="0"/>
                          <w:color w:val="auto"/>
                        </w:rPr>
                        <w:t xml:space="preserve"> | tel.: 274 052 347, 274 052 757 | e-mail: esds@czso.cz</w:t>
                      </w:r>
                    </w:p>
                    <w:p w14:paraId="4D0F9599" w14:textId="77777777" w:rsidR="009173E5" w:rsidRDefault="009173E5" w:rsidP="003D79AD">
                      <w:pPr>
                        <w:pStyle w:val="TLKontakty"/>
                        <w:spacing w:after="80" w:line="240" w:lineRule="auto"/>
                        <w:rPr>
                          <w:b w:val="0"/>
                          <w:color w:val="auto"/>
                        </w:rPr>
                      </w:pPr>
                      <w:r>
                        <w:rPr>
                          <w:color w:val="auto"/>
                        </w:rPr>
                        <w:t>Ústřední statistická knihovna</w:t>
                      </w:r>
                      <w:r>
                        <w:rPr>
                          <w:b w:val="0"/>
                          <w:color w:val="auto"/>
                        </w:rPr>
                        <w:t xml:space="preserve"> | tel.: 274 052 361 | e-mail: knihovna@czso.cz</w:t>
                      </w:r>
                    </w:p>
                    <w:p w14:paraId="69EAFE4C" w14:textId="77777777" w:rsidR="009173E5" w:rsidRDefault="009173E5" w:rsidP="003D79AD">
                      <w:pPr>
                        <w:pStyle w:val="TLKontakty"/>
                        <w:spacing w:after="80" w:line="240" w:lineRule="auto"/>
                        <w:rPr>
                          <w:color w:val="auto"/>
                        </w:rPr>
                      </w:pPr>
                    </w:p>
                    <w:p w14:paraId="772AA324" w14:textId="77777777" w:rsidR="009173E5" w:rsidRDefault="009173E5" w:rsidP="003D79AD">
                      <w:pPr>
                        <w:pStyle w:val="TLKontaktyerven"/>
                      </w:pPr>
                      <w:r>
                        <w:t>INFORMAČNÍ SLUŽBY V REGIONECH</w:t>
                      </w:r>
                    </w:p>
                    <w:p w14:paraId="39C18DBF" w14:textId="77777777" w:rsidR="009173E5" w:rsidRDefault="009173E5" w:rsidP="003D79AD">
                      <w:pPr>
                        <w:pStyle w:val="TLKontakty"/>
                        <w:spacing w:after="80" w:line="240" w:lineRule="auto"/>
                        <w:rPr>
                          <w:b w:val="0"/>
                          <w:color w:val="auto"/>
                        </w:rPr>
                      </w:pPr>
                      <w:r>
                        <w:t>Hl. m. Praha</w:t>
                      </w:r>
                      <w:r>
                        <w:rPr>
                          <w:b w:val="0"/>
                          <w:color w:val="auto"/>
                        </w:rPr>
                        <w:t xml:space="preserve"> | Na padesátém 81, 100 82 Praha 10, tel.: 274 052 673, 274 054 223</w:t>
                      </w:r>
                    </w:p>
                    <w:p w14:paraId="5167A0FE" w14:textId="77777777" w:rsidR="009173E5" w:rsidRDefault="009173E5" w:rsidP="003D79AD">
                      <w:pPr>
                        <w:pStyle w:val="TLKontakty"/>
                        <w:spacing w:after="80" w:line="240" w:lineRule="auto"/>
                        <w:rPr>
                          <w:b w:val="0"/>
                          <w:color w:val="auto"/>
                        </w:rPr>
                      </w:pPr>
                      <w:r>
                        <w:rPr>
                          <w:b w:val="0"/>
                          <w:color w:val="auto"/>
                        </w:rPr>
                        <w:t xml:space="preserve">e-mail: infoservispraha@czso.cz | </w:t>
                      </w:r>
                      <w:r>
                        <w:rPr>
                          <w:color w:val="auto"/>
                        </w:rPr>
                        <w:t>www.praha.czso.cz</w:t>
                      </w:r>
                    </w:p>
                    <w:p w14:paraId="0F980A7E" w14:textId="77777777" w:rsidR="009173E5" w:rsidRDefault="009173E5" w:rsidP="003D79AD">
                      <w:pPr>
                        <w:pStyle w:val="TLKontakty"/>
                        <w:spacing w:after="80" w:line="240" w:lineRule="auto"/>
                        <w:rPr>
                          <w:color w:val="auto"/>
                        </w:rPr>
                      </w:pPr>
                    </w:p>
                    <w:p w14:paraId="56D72B8F" w14:textId="77777777" w:rsidR="009173E5" w:rsidRDefault="009173E5" w:rsidP="003D79AD">
                      <w:pPr>
                        <w:pStyle w:val="TLKontakty"/>
                        <w:spacing w:after="80" w:line="240" w:lineRule="auto"/>
                        <w:rPr>
                          <w:b w:val="0"/>
                          <w:color w:val="auto"/>
                        </w:rPr>
                      </w:pPr>
                      <w:r>
                        <w:t>Středočeský kraj</w:t>
                      </w:r>
                      <w:r>
                        <w:rPr>
                          <w:b w:val="0"/>
                          <w:color w:val="auto"/>
                        </w:rPr>
                        <w:t xml:space="preserve"> | Na padesátém 81, 100 82 Praha 10, tel.: 274 054 175</w:t>
                      </w:r>
                    </w:p>
                    <w:p w14:paraId="17AEF819" w14:textId="77777777" w:rsidR="009173E5" w:rsidRDefault="009173E5" w:rsidP="003D79AD">
                      <w:pPr>
                        <w:pStyle w:val="TLKontakty"/>
                        <w:spacing w:after="80" w:line="240" w:lineRule="auto"/>
                        <w:rPr>
                          <w:color w:val="auto"/>
                        </w:rPr>
                      </w:pPr>
                      <w:r>
                        <w:rPr>
                          <w:b w:val="0"/>
                          <w:color w:val="auto"/>
                        </w:rPr>
                        <w:t xml:space="preserve">e-mail: infoservisstc@czso.cz | </w:t>
                      </w:r>
                      <w:r>
                        <w:rPr>
                          <w:color w:val="auto"/>
                        </w:rPr>
                        <w:t>www.stredocesky.czso.cz</w:t>
                      </w:r>
                    </w:p>
                    <w:p w14:paraId="2E70A72F" w14:textId="77777777" w:rsidR="009173E5" w:rsidRDefault="009173E5" w:rsidP="003D79AD">
                      <w:pPr>
                        <w:pStyle w:val="TLKontakty"/>
                        <w:spacing w:after="80" w:line="240" w:lineRule="auto"/>
                        <w:rPr>
                          <w:color w:val="auto"/>
                        </w:rPr>
                      </w:pPr>
                    </w:p>
                    <w:p w14:paraId="32CA7038" w14:textId="77777777" w:rsidR="009173E5" w:rsidRDefault="009173E5" w:rsidP="003D79AD">
                      <w:pPr>
                        <w:pStyle w:val="TLKontakty"/>
                        <w:spacing w:after="80" w:line="240" w:lineRule="auto"/>
                        <w:rPr>
                          <w:b w:val="0"/>
                          <w:color w:val="auto"/>
                        </w:rPr>
                      </w:pPr>
                      <w:r>
                        <w:t>České Budějovice</w:t>
                      </w:r>
                      <w:r>
                        <w:rPr>
                          <w:b w:val="0"/>
                          <w:color w:val="auto"/>
                        </w:rPr>
                        <w:t xml:space="preserve"> | Žižkova 1, 370 77 České Budějovice, tel.: 386 718 440</w:t>
                      </w:r>
                    </w:p>
                    <w:p w14:paraId="1B3FEC63" w14:textId="77777777" w:rsidR="009173E5" w:rsidRDefault="009173E5" w:rsidP="003D79AD">
                      <w:pPr>
                        <w:pStyle w:val="TLKontakty"/>
                        <w:spacing w:after="80" w:line="240" w:lineRule="auto"/>
                        <w:rPr>
                          <w:b w:val="0"/>
                          <w:color w:val="auto"/>
                        </w:rPr>
                      </w:pPr>
                      <w:r>
                        <w:rPr>
                          <w:b w:val="0"/>
                          <w:color w:val="auto"/>
                        </w:rPr>
                        <w:t xml:space="preserve">e-mail: infoserviscb@czso.cz | </w:t>
                      </w:r>
                      <w:r>
                        <w:rPr>
                          <w:color w:val="auto"/>
                        </w:rPr>
                        <w:t>www.cbudejovice.czso.cz</w:t>
                      </w:r>
                    </w:p>
                    <w:p w14:paraId="7E5C55D9" w14:textId="77777777" w:rsidR="009173E5" w:rsidRDefault="009173E5" w:rsidP="003D79AD">
                      <w:pPr>
                        <w:pStyle w:val="TLKontakty"/>
                        <w:spacing w:after="80" w:line="240" w:lineRule="auto"/>
                        <w:rPr>
                          <w:color w:val="auto"/>
                        </w:rPr>
                      </w:pPr>
                    </w:p>
                    <w:p w14:paraId="37565567" w14:textId="77777777" w:rsidR="009173E5" w:rsidRDefault="009173E5" w:rsidP="003D79AD">
                      <w:pPr>
                        <w:pStyle w:val="TLKontakty"/>
                        <w:spacing w:after="80" w:line="240" w:lineRule="auto"/>
                        <w:rPr>
                          <w:b w:val="0"/>
                          <w:color w:val="auto"/>
                        </w:rPr>
                      </w:pPr>
                      <w:r>
                        <w:t>Plzeň</w:t>
                      </w:r>
                      <w:r>
                        <w:rPr>
                          <w:b w:val="0"/>
                          <w:color w:val="auto"/>
                        </w:rPr>
                        <w:t xml:space="preserve"> | Slovanská alej 36, 326 64 Plzeň, tel.: 377 612 108, 377 612 145</w:t>
                      </w:r>
                    </w:p>
                    <w:p w14:paraId="061715BB" w14:textId="77777777" w:rsidR="009173E5" w:rsidRDefault="009173E5" w:rsidP="003D79AD">
                      <w:pPr>
                        <w:pStyle w:val="TLKontakty"/>
                        <w:spacing w:after="80" w:line="240" w:lineRule="auto"/>
                        <w:rPr>
                          <w:b w:val="0"/>
                          <w:color w:val="auto"/>
                        </w:rPr>
                      </w:pPr>
                      <w:r>
                        <w:rPr>
                          <w:b w:val="0"/>
                          <w:color w:val="auto"/>
                        </w:rPr>
                        <w:t xml:space="preserve">e-mail: infoservisplzen@czso.cz | </w:t>
                      </w:r>
                      <w:r>
                        <w:rPr>
                          <w:color w:val="auto"/>
                        </w:rPr>
                        <w:t>www.plzen.czso.cz</w:t>
                      </w:r>
                    </w:p>
                    <w:p w14:paraId="3EA95B16" w14:textId="77777777" w:rsidR="009173E5" w:rsidRDefault="009173E5" w:rsidP="003D79AD">
                      <w:pPr>
                        <w:pStyle w:val="TLKontakty"/>
                        <w:spacing w:after="80" w:line="240" w:lineRule="auto"/>
                        <w:rPr>
                          <w:color w:val="auto"/>
                        </w:rPr>
                      </w:pPr>
                    </w:p>
                    <w:p w14:paraId="02181EA8" w14:textId="77777777" w:rsidR="009173E5" w:rsidRDefault="009173E5" w:rsidP="003D79AD">
                      <w:pPr>
                        <w:pStyle w:val="TLKontakty"/>
                        <w:spacing w:after="80" w:line="240" w:lineRule="auto"/>
                        <w:rPr>
                          <w:b w:val="0"/>
                          <w:color w:val="auto"/>
                        </w:rPr>
                      </w:pPr>
                      <w:r>
                        <w:t>Karlovy Vary</w:t>
                      </w:r>
                      <w:r>
                        <w:rPr>
                          <w:b w:val="0"/>
                          <w:color w:val="auto"/>
                        </w:rPr>
                        <w:t xml:space="preserve"> | Závodní 360/94, 360 06 Karlovy Vary, tel.: 353 114 529, 353 114 525</w:t>
                      </w:r>
                    </w:p>
                    <w:p w14:paraId="725CC754" w14:textId="77777777" w:rsidR="009173E5" w:rsidRDefault="009173E5" w:rsidP="003D79AD">
                      <w:pPr>
                        <w:pStyle w:val="TLKontakty"/>
                        <w:spacing w:after="80" w:line="240" w:lineRule="auto"/>
                        <w:rPr>
                          <w:b w:val="0"/>
                          <w:color w:val="auto"/>
                        </w:rPr>
                      </w:pPr>
                      <w:r>
                        <w:rPr>
                          <w:b w:val="0"/>
                          <w:color w:val="auto"/>
                        </w:rPr>
                        <w:t xml:space="preserve">e-mail: infoserviskv@czso.cz | </w:t>
                      </w:r>
                      <w:r>
                        <w:rPr>
                          <w:color w:val="auto"/>
                        </w:rPr>
                        <w:t>www.kvary.czso.cz</w:t>
                      </w:r>
                    </w:p>
                    <w:p w14:paraId="6C57D97A" w14:textId="77777777" w:rsidR="009173E5" w:rsidRDefault="009173E5" w:rsidP="003D79AD">
                      <w:pPr>
                        <w:pStyle w:val="TLKontakty"/>
                        <w:spacing w:after="80" w:line="240" w:lineRule="auto"/>
                        <w:rPr>
                          <w:color w:val="auto"/>
                        </w:rPr>
                      </w:pPr>
                    </w:p>
                    <w:p w14:paraId="013F06C0" w14:textId="77777777" w:rsidR="009173E5" w:rsidRDefault="009173E5" w:rsidP="003D79AD">
                      <w:pPr>
                        <w:pStyle w:val="TLKontakty"/>
                        <w:spacing w:after="80" w:line="240" w:lineRule="auto"/>
                        <w:rPr>
                          <w:b w:val="0"/>
                          <w:color w:val="auto"/>
                        </w:rPr>
                      </w:pPr>
                      <w:r>
                        <w:t>Ústí nad Labem</w:t>
                      </w:r>
                      <w:r>
                        <w:rPr>
                          <w:b w:val="0"/>
                          <w:color w:val="auto"/>
                        </w:rPr>
                        <w:t xml:space="preserve"> | Špálova 2684, 400 11 Ústí nad Labem, tel.: 472 706 176, 472 706 121</w:t>
                      </w:r>
                    </w:p>
                    <w:p w14:paraId="69F296BD" w14:textId="77777777" w:rsidR="009173E5" w:rsidRDefault="009173E5" w:rsidP="003D79AD">
                      <w:pPr>
                        <w:pStyle w:val="TLKontakty"/>
                        <w:spacing w:after="80" w:line="240" w:lineRule="auto"/>
                        <w:rPr>
                          <w:b w:val="0"/>
                          <w:color w:val="auto"/>
                        </w:rPr>
                      </w:pPr>
                      <w:r>
                        <w:rPr>
                          <w:b w:val="0"/>
                          <w:color w:val="auto"/>
                        </w:rPr>
                        <w:t xml:space="preserve">e-mail: infoservisul@czso.cz | </w:t>
                      </w:r>
                      <w:r>
                        <w:rPr>
                          <w:color w:val="auto"/>
                        </w:rPr>
                        <w:t>www.ustinadlabem.czso.cz</w:t>
                      </w:r>
                    </w:p>
                    <w:p w14:paraId="1A8DCA33" w14:textId="77777777" w:rsidR="009173E5" w:rsidRDefault="009173E5" w:rsidP="003D79AD">
                      <w:pPr>
                        <w:pStyle w:val="TLKontakty"/>
                        <w:spacing w:after="80" w:line="240" w:lineRule="auto"/>
                        <w:rPr>
                          <w:color w:val="auto"/>
                        </w:rPr>
                      </w:pPr>
                    </w:p>
                    <w:p w14:paraId="4C92B6EE" w14:textId="77777777" w:rsidR="009173E5" w:rsidRDefault="009173E5" w:rsidP="003D79AD">
                      <w:pPr>
                        <w:pStyle w:val="TLKontakty"/>
                        <w:spacing w:after="80" w:line="240" w:lineRule="auto"/>
                        <w:rPr>
                          <w:b w:val="0"/>
                          <w:color w:val="auto"/>
                        </w:rPr>
                      </w:pPr>
                      <w:r>
                        <w:t>Liberec</w:t>
                      </w:r>
                      <w:r>
                        <w:rPr>
                          <w:b w:val="0"/>
                          <w:color w:val="auto"/>
                        </w:rPr>
                        <w:t xml:space="preserve"> | Nám. Dr. Edvarda Beneše 585/26, 460 01 Liberec 1, tel.: 485 238 811</w:t>
                      </w:r>
                    </w:p>
                    <w:p w14:paraId="3380AF57" w14:textId="77777777" w:rsidR="009173E5" w:rsidRDefault="009173E5" w:rsidP="003D79AD">
                      <w:pPr>
                        <w:pStyle w:val="TLKontakty"/>
                        <w:spacing w:after="80" w:line="240" w:lineRule="auto"/>
                        <w:rPr>
                          <w:b w:val="0"/>
                          <w:color w:val="auto"/>
                        </w:rPr>
                      </w:pPr>
                      <w:r>
                        <w:rPr>
                          <w:b w:val="0"/>
                          <w:color w:val="auto"/>
                        </w:rPr>
                        <w:t xml:space="preserve">e-mail: infoservislbc@czso.cz | </w:t>
                      </w:r>
                      <w:r>
                        <w:rPr>
                          <w:color w:val="auto"/>
                        </w:rPr>
                        <w:t>www.liberec.czso.cz</w:t>
                      </w:r>
                    </w:p>
                    <w:p w14:paraId="6AD35F24" w14:textId="77777777" w:rsidR="009173E5" w:rsidRDefault="009173E5" w:rsidP="003D79AD">
                      <w:pPr>
                        <w:pStyle w:val="TLKontakty"/>
                        <w:spacing w:after="80" w:line="240" w:lineRule="auto"/>
                        <w:rPr>
                          <w:b w:val="0"/>
                          <w:color w:val="auto"/>
                        </w:rPr>
                      </w:pPr>
                    </w:p>
                    <w:p w14:paraId="49F5CD4E" w14:textId="77777777" w:rsidR="009173E5" w:rsidRDefault="009173E5" w:rsidP="003D79AD">
                      <w:pPr>
                        <w:pStyle w:val="TLKontakty"/>
                        <w:spacing w:after="80" w:line="240" w:lineRule="auto"/>
                        <w:rPr>
                          <w:b w:val="0"/>
                          <w:color w:val="auto"/>
                        </w:rPr>
                      </w:pPr>
                      <w:r>
                        <w:t>Hradec Králové</w:t>
                      </w:r>
                      <w:r>
                        <w:rPr>
                          <w:b w:val="0"/>
                          <w:color w:val="auto"/>
                        </w:rPr>
                        <w:t xml:space="preserve"> | Myslivečkova 914, 500 03 Hradec Králové 3, tel.: 495 762 322, 495 762 317</w:t>
                      </w:r>
                    </w:p>
                    <w:p w14:paraId="75D21275" w14:textId="77777777" w:rsidR="009173E5" w:rsidRDefault="009173E5" w:rsidP="003D79AD">
                      <w:pPr>
                        <w:pStyle w:val="TLKontakty"/>
                        <w:spacing w:after="80" w:line="240" w:lineRule="auto"/>
                        <w:rPr>
                          <w:b w:val="0"/>
                          <w:color w:val="auto"/>
                        </w:rPr>
                      </w:pPr>
                      <w:r>
                        <w:rPr>
                          <w:b w:val="0"/>
                          <w:color w:val="auto"/>
                        </w:rPr>
                        <w:t xml:space="preserve">e-mail: infoservishk@czso.cz | </w:t>
                      </w:r>
                      <w:r>
                        <w:rPr>
                          <w:color w:val="auto"/>
                        </w:rPr>
                        <w:t>www.hradeckralove.czso.cz</w:t>
                      </w:r>
                    </w:p>
                    <w:p w14:paraId="171B0CA4" w14:textId="77777777" w:rsidR="009173E5" w:rsidRDefault="009173E5" w:rsidP="003D79AD">
                      <w:pPr>
                        <w:pStyle w:val="TLKontakty"/>
                        <w:spacing w:after="80" w:line="240" w:lineRule="auto"/>
                        <w:rPr>
                          <w:color w:val="auto"/>
                        </w:rPr>
                      </w:pPr>
                    </w:p>
                    <w:p w14:paraId="03C0A60E" w14:textId="77777777" w:rsidR="009173E5" w:rsidRDefault="009173E5" w:rsidP="003D79AD">
                      <w:pPr>
                        <w:pStyle w:val="TLKontakty"/>
                        <w:spacing w:after="80" w:line="240" w:lineRule="auto"/>
                        <w:rPr>
                          <w:b w:val="0"/>
                          <w:color w:val="auto"/>
                        </w:rPr>
                      </w:pPr>
                      <w:r>
                        <w:t>Pardubice</w:t>
                      </w:r>
                      <w:r>
                        <w:rPr>
                          <w:b w:val="0"/>
                          <w:color w:val="auto"/>
                        </w:rPr>
                        <w:t xml:space="preserve"> | V Ráji 872, 531 53 Pardubice, tel.: 466 743 480, 466 743 418</w:t>
                      </w:r>
                    </w:p>
                    <w:p w14:paraId="10AF1C97" w14:textId="77777777" w:rsidR="009173E5" w:rsidRDefault="009173E5" w:rsidP="003D79AD">
                      <w:pPr>
                        <w:pStyle w:val="TLKontakty"/>
                        <w:spacing w:after="80" w:line="240" w:lineRule="auto"/>
                        <w:rPr>
                          <w:b w:val="0"/>
                          <w:color w:val="auto"/>
                        </w:rPr>
                      </w:pPr>
                      <w:r>
                        <w:rPr>
                          <w:b w:val="0"/>
                          <w:color w:val="auto"/>
                        </w:rPr>
                        <w:t xml:space="preserve">e-mail: infoservispa@czso.cz | </w:t>
                      </w:r>
                      <w:r>
                        <w:rPr>
                          <w:color w:val="auto"/>
                        </w:rPr>
                        <w:t>www.pardubice.czso.cz</w:t>
                      </w:r>
                    </w:p>
                    <w:p w14:paraId="28E8747F" w14:textId="77777777" w:rsidR="009173E5" w:rsidRDefault="009173E5" w:rsidP="003D79AD">
                      <w:pPr>
                        <w:pStyle w:val="TLKontakty"/>
                        <w:spacing w:after="80" w:line="240" w:lineRule="auto"/>
                        <w:rPr>
                          <w:b w:val="0"/>
                          <w:color w:val="auto"/>
                        </w:rPr>
                      </w:pPr>
                    </w:p>
                    <w:p w14:paraId="78C9E2FB" w14:textId="77777777" w:rsidR="009173E5" w:rsidRDefault="009173E5" w:rsidP="003D79AD">
                      <w:pPr>
                        <w:pStyle w:val="TLKontakty"/>
                        <w:spacing w:after="80" w:line="240" w:lineRule="auto"/>
                        <w:rPr>
                          <w:b w:val="0"/>
                          <w:color w:val="auto"/>
                        </w:rPr>
                      </w:pPr>
                      <w:r>
                        <w:t>Jihlava</w:t>
                      </w:r>
                      <w:r>
                        <w:rPr>
                          <w:b w:val="0"/>
                          <w:color w:val="auto"/>
                        </w:rPr>
                        <w:t xml:space="preserve"> | Ke Skalce 30, 586 01 Jihlava, tel.: 567 109 062, 567 109 073</w:t>
                      </w:r>
                    </w:p>
                    <w:p w14:paraId="7415B5E2" w14:textId="77777777" w:rsidR="009173E5" w:rsidRDefault="009173E5" w:rsidP="003D79AD">
                      <w:pPr>
                        <w:pStyle w:val="TLKontakty"/>
                        <w:spacing w:after="80" w:line="240" w:lineRule="auto"/>
                        <w:rPr>
                          <w:b w:val="0"/>
                          <w:color w:val="auto"/>
                        </w:rPr>
                      </w:pPr>
                      <w:r>
                        <w:rPr>
                          <w:b w:val="0"/>
                          <w:color w:val="auto"/>
                        </w:rPr>
                        <w:t xml:space="preserve">e-mail: infoservisvys@czso.cz | </w:t>
                      </w:r>
                      <w:r>
                        <w:rPr>
                          <w:color w:val="auto"/>
                        </w:rPr>
                        <w:t>www.jihlava.czso.cz</w:t>
                      </w:r>
                    </w:p>
                    <w:p w14:paraId="7FEFA54B" w14:textId="77777777" w:rsidR="009173E5" w:rsidRDefault="009173E5" w:rsidP="003D79AD">
                      <w:pPr>
                        <w:pStyle w:val="TLKontakty"/>
                        <w:spacing w:after="80" w:line="240" w:lineRule="auto"/>
                      </w:pPr>
                    </w:p>
                    <w:p w14:paraId="27A53ABD" w14:textId="77777777" w:rsidR="009173E5" w:rsidRDefault="009173E5" w:rsidP="003D79AD">
                      <w:pPr>
                        <w:pStyle w:val="TLKontakty"/>
                        <w:spacing w:after="80" w:line="240" w:lineRule="auto"/>
                        <w:rPr>
                          <w:b w:val="0"/>
                          <w:color w:val="auto"/>
                        </w:rPr>
                      </w:pPr>
                      <w:r>
                        <w:t>Brno</w:t>
                      </w:r>
                      <w:r>
                        <w:rPr>
                          <w:b w:val="0"/>
                          <w:color w:val="auto"/>
                        </w:rPr>
                        <w:t xml:space="preserve"> | Jezuitská 2, 601 59 Brno, tel: 542 528 115, 542 528 200</w:t>
                      </w:r>
                    </w:p>
                    <w:p w14:paraId="08CB2E52" w14:textId="77777777" w:rsidR="009173E5" w:rsidRDefault="009173E5" w:rsidP="003D79AD">
                      <w:pPr>
                        <w:pStyle w:val="TLKontakty"/>
                        <w:spacing w:after="80" w:line="240" w:lineRule="auto"/>
                        <w:rPr>
                          <w:color w:val="auto"/>
                        </w:rPr>
                      </w:pPr>
                      <w:r>
                        <w:rPr>
                          <w:b w:val="0"/>
                          <w:color w:val="auto"/>
                        </w:rPr>
                        <w:t xml:space="preserve">e-mail: infoservisbrno@czso.cz | </w:t>
                      </w:r>
                      <w:r>
                        <w:rPr>
                          <w:color w:val="auto"/>
                        </w:rPr>
                        <w:t>www.brno.czso.cz</w:t>
                      </w:r>
                    </w:p>
                    <w:p w14:paraId="75BCA21A" w14:textId="77777777" w:rsidR="009173E5" w:rsidRDefault="009173E5" w:rsidP="003D79AD">
                      <w:pPr>
                        <w:pStyle w:val="TLKontakty"/>
                        <w:spacing w:after="80" w:line="240" w:lineRule="auto"/>
                        <w:rPr>
                          <w:b w:val="0"/>
                          <w:color w:val="auto"/>
                        </w:rPr>
                      </w:pPr>
                    </w:p>
                    <w:p w14:paraId="60A3C6FD" w14:textId="77777777" w:rsidR="009173E5" w:rsidRDefault="009173E5" w:rsidP="003D79AD">
                      <w:pPr>
                        <w:pStyle w:val="TLKontakty"/>
                        <w:spacing w:after="80" w:line="240" w:lineRule="auto"/>
                        <w:rPr>
                          <w:b w:val="0"/>
                          <w:color w:val="auto"/>
                        </w:rPr>
                      </w:pPr>
                      <w:r>
                        <w:t>Olomouc</w:t>
                      </w:r>
                      <w:r>
                        <w:rPr>
                          <w:b w:val="0"/>
                          <w:color w:val="auto"/>
                        </w:rPr>
                        <w:t xml:space="preserve"> | Jeremenkova 1142/42, 772 11 Olomouc, tel.: 585 731 516, 585 731 511</w:t>
                      </w:r>
                    </w:p>
                    <w:p w14:paraId="0615C862" w14:textId="77777777" w:rsidR="009173E5" w:rsidRDefault="009173E5" w:rsidP="003D79AD">
                      <w:pPr>
                        <w:pStyle w:val="TLKontakty"/>
                        <w:spacing w:after="80" w:line="240" w:lineRule="auto"/>
                        <w:rPr>
                          <w:b w:val="0"/>
                          <w:color w:val="auto"/>
                        </w:rPr>
                      </w:pPr>
                      <w:r>
                        <w:rPr>
                          <w:b w:val="0"/>
                          <w:color w:val="auto"/>
                        </w:rPr>
                        <w:t xml:space="preserve">e-mail: infoservisolom@czso.cz | </w:t>
                      </w:r>
                      <w:r>
                        <w:rPr>
                          <w:color w:val="auto"/>
                        </w:rPr>
                        <w:t>www.olomouc.czso.cz</w:t>
                      </w:r>
                    </w:p>
                    <w:p w14:paraId="0CB4FD5E" w14:textId="77777777" w:rsidR="009173E5" w:rsidRDefault="009173E5" w:rsidP="003D79AD">
                      <w:pPr>
                        <w:pStyle w:val="TLKontakty"/>
                        <w:spacing w:after="80" w:line="240" w:lineRule="auto"/>
                        <w:rPr>
                          <w:b w:val="0"/>
                          <w:color w:val="auto"/>
                        </w:rPr>
                      </w:pPr>
                    </w:p>
                    <w:p w14:paraId="1668C79B" w14:textId="77777777" w:rsidR="009173E5" w:rsidRDefault="009173E5" w:rsidP="003D79AD">
                      <w:pPr>
                        <w:pStyle w:val="TLKontakty"/>
                        <w:spacing w:after="80" w:line="240" w:lineRule="auto"/>
                        <w:rPr>
                          <w:b w:val="0"/>
                          <w:color w:val="auto"/>
                        </w:rPr>
                      </w:pPr>
                      <w:r>
                        <w:t>Zlín</w:t>
                      </w:r>
                      <w:r>
                        <w:rPr>
                          <w:b w:val="0"/>
                          <w:color w:val="auto"/>
                        </w:rPr>
                        <w:t xml:space="preserve"> | tř. Tomáše Bati 1565, 761 76 Zlín, tel.: 577 004 932, 577 004 935</w:t>
                      </w:r>
                    </w:p>
                    <w:p w14:paraId="4CBE5196" w14:textId="77777777" w:rsidR="009173E5" w:rsidRDefault="009173E5" w:rsidP="003D79AD">
                      <w:pPr>
                        <w:pStyle w:val="TLKontakty"/>
                        <w:spacing w:after="80" w:line="240" w:lineRule="auto"/>
                        <w:rPr>
                          <w:color w:val="auto"/>
                        </w:rPr>
                      </w:pPr>
                      <w:r>
                        <w:rPr>
                          <w:b w:val="0"/>
                          <w:color w:val="auto"/>
                        </w:rPr>
                        <w:t xml:space="preserve">e-mail: infoservis-zl@czso.cz | </w:t>
                      </w:r>
                      <w:r>
                        <w:rPr>
                          <w:color w:val="auto"/>
                        </w:rPr>
                        <w:t>www.zlin.czso.cz</w:t>
                      </w:r>
                    </w:p>
                    <w:p w14:paraId="3C4CBDE3" w14:textId="77777777" w:rsidR="009173E5" w:rsidRDefault="009173E5" w:rsidP="003D79AD">
                      <w:pPr>
                        <w:pStyle w:val="TLKontakty"/>
                        <w:spacing w:after="80" w:line="240" w:lineRule="auto"/>
                        <w:rPr>
                          <w:b w:val="0"/>
                          <w:color w:val="auto"/>
                        </w:rPr>
                      </w:pPr>
                    </w:p>
                    <w:p w14:paraId="671D717F" w14:textId="77777777" w:rsidR="009173E5" w:rsidRDefault="009173E5" w:rsidP="003D79AD">
                      <w:pPr>
                        <w:pStyle w:val="TLKontakty"/>
                        <w:spacing w:after="80" w:line="240" w:lineRule="auto"/>
                        <w:rPr>
                          <w:b w:val="0"/>
                          <w:color w:val="auto"/>
                        </w:rPr>
                      </w:pPr>
                      <w:r>
                        <w:t>Ostrava</w:t>
                      </w:r>
                      <w:r>
                        <w:rPr>
                          <w:b w:val="0"/>
                          <w:color w:val="auto"/>
                        </w:rPr>
                        <w:t xml:space="preserve"> | Repinova 17, 702 03 Ostrava, tel: 595 131 230, 595 131 232</w:t>
                      </w:r>
                    </w:p>
                    <w:p w14:paraId="6F9812A4" w14:textId="77777777" w:rsidR="009173E5" w:rsidRDefault="009173E5" w:rsidP="003D79AD">
                      <w:pPr>
                        <w:pStyle w:val="TLKontakty"/>
                        <w:spacing w:after="80" w:line="240" w:lineRule="auto"/>
                        <w:rPr>
                          <w:b w:val="0"/>
                          <w:color w:val="auto"/>
                        </w:rPr>
                      </w:pPr>
                      <w:r>
                        <w:rPr>
                          <w:b w:val="0"/>
                          <w:color w:val="auto"/>
                        </w:rPr>
                        <w:t xml:space="preserve">e-mail: infoservis_ov@czso.cz | </w:t>
                      </w:r>
                      <w:r>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72064" behindDoc="0" locked="1" layoutInCell="1" allowOverlap="1" wp14:anchorId="3D12014F" wp14:editId="76C90BD0">
                <wp:simplePos x="0" y="0"/>
                <wp:positionH relativeFrom="page">
                  <wp:posOffset>720090</wp:posOffset>
                </wp:positionH>
                <wp:positionV relativeFrom="page">
                  <wp:posOffset>9486900</wp:posOffset>
                </wp:positionV>
                <wp:extent cx="6120130" cy="360045"/>
                <wp:effectExtent l="0" t="0" r="13970" b="190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A544" w14:textId="2E7B3C1E" w:rsidR="009173E5" w:rsidRDefault="009173E5" w:rsidP="003D79AD">
                            <w:r>
                              <w:rPr>
                                <w:szCs w:val="26"/>
                              </w:rPr>
                              <w:t xml:space="preserve">ISBN </w:t>
                            </w:r>
                            <w:r w:rsidRPr="00E32975">
                              <w:rPr>
                                <w:rFonts w:ascii="Segoe UI" w:hAnsi="Segoe UI" w:cs="Segoe UI"/>
                                <w:b/>
                                <w:bCs/>
                                <w:color w:val="353838"/>
                                <w:szCs w:val="20"/>
                              </w:rPr>
                              <w:t>978-80-250-3077-6</w:t>
                            </w:r>
                            <w:r>
                              <w:rPr>
                                <w:szCs w:val="26"/>
                              </w:rPr>
                              <w:t xml:space="preserve"> </w:t>
                            </w:r>
                            <w:r>
                              <w:br/>
                              <w:t>© Čes</w:t>
                            </w:r>
                            <w:r w:rsidR="00B86A9F">
                              <w:t>ký statistický úřad, Praha, 2021</w:t>
                            </w:r>
                          </w:p>
                          <w:p w14:paraId="08D116BF" w14:textId="77777777" w:rsidR="009173E5" w:rsidRDefault="009173E5" w:rsidP="003D79AD"/>
                          <w:p w14:paraId="58624639" w14:textId="77777777" w:rsidR="009173E5" w:rsidRDefault="009173E5" w:rsidP="003D79AD">
                            <w:r>
                              <w:rPr>
                                <w:szCs w:val="26"/>
                              </w:rPr>
                              <w:t xml:space="preserve">ISBN XX-XXXX-XXX-X  </w:t>
                            </w:r>
                            <w:r>
                              <w:t>(pouze u nepravidelných a ročních publikací)</w:t>
                            </w:r>
                          </w:p>
                          <w:p w14:paraId="4D2CD252" w14:textId="77777777" w:rsidR="009173E5" w:rsidRDefault="009173E5" w:rsidP="003D79AD">
                            <w:r>
                              <w:t xml:space="preserve">© Český statistický úřad / </w:t>
                            </w:r>
                            <w:r>
                              <w:rPr>
                                <w:i/>
                              </w:rPr>
                              <w:t xml:space="preserve">Czech </w:t>
                            </w:r>
                            <w:proofErr w:type="spellStart"/>
                            <w:r>
                              <w:rPr>
                                <w:rFonts w:cs="Arial"/>
                                <w:i/>
                                <w:szCs w:val="20"/>
                              </w:rPr>
                              <w:t>Statistical</w:t>
                            </w:r>
                            <w:proofErr w:type="spellEnd"/>
                            <w:r>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2014F" id="Textové pole 47" o:spid="_x0000_s1031" type="#_x0000_t202" style="position:absolute;margin-left:56.7pt;margin-top:747pt;width:481.9pt;height:28.3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Ai&#10;mSAJugIAALcFAAAOAAAAAAAAAAAAAAAAAC4CAABkcnMvZTJvRG9jLnhtbFBLAQItABQABgAIAAAA&#10;IQDV24r64gAAAA4BAAAPAAAAAAAAAAAAAAAAABQFAABkcnMvZG93bnJldi54bWxQSwUGAAAAAAQA&#10;BADzAAAAIwYAAAAA&#10;" filled="f" stroked="f">
                <v:textbox inset="0,0,0,0">
                  <w:txbxContent>
                    <w:p w14:paraId="5900A544" w14:textId="2E7B3C1E" w:rsidR="009173E5" w:rsidRDefault="009173E5" w:rsidP="003D79AD">
                      <w:r>
                        <w:rPr>
                          <w:szCs w:val="26"/>
                        </w:rPr>
                        <w:t xml:space="preserve">ISBN </w:t>
                      </w:r>
                      <w:r w:rsidRPr="00E32975">
                        <w:rPr>
                          <w:rFonts w:ascii="Segoe UI" w:hAnsi="Segoe UI" w:cs="Segoe UI"/>
                          <w:b/>
                          <w:bCs/>
                          <w:color w:val="353838"/>
                          <w:szCs w:val="20"/>
                        </w:rPr>
                        <w:t>978-80-250-3077-6</w:t>
                      </w:r>
                      <w:r>
                        <w:rPr>
                          <w:szCs w:val="26"/>
                        </w:rPr>
                        <w:t xml:space="preserve"> </w:t>
                      </w:r>
                      <w:r>
                        <w:br/>
                        <w:t>© Čes</w:t>
                      </w:r>
                      <w:r w:rsidR="00B86A9F">
                        <w:t>ký statistický úřad, Praha, 2021</w:t>
                      </w:r>
                    </w:p>
                    <w:p w14:paraId="08D116BF" w14:textId="77777777" w:rsidR="009173E5" w:rsidRDefault="009173E5" w:rsidP="003D79AD"/>
                    <w:p w14:paraId="58624639" w14:textId="77777777" w:rsidR="009173E5" w:rsidRDefault="009173E5" w:rsidP="003D79AD">
                      <w:r>
                        <w:rPr>
                          <w:szCs w:val="26"/>
                        </w:rPr>
                        <w:t xml:space="preserve">ISBN XX-XXXX-XXX-X  </w:t>
                      </w:r>
                      <w:r>
                        <w:t>(pouze u nepravidelných a ročních publikací)</w:t>
                      </w:r>
                    </w:p>
                    <w:p w14:paraId="4D2CD252" w14:textId="77777777" w:rsidR="009173E5" w:rsidRDefault="009173E5" w:rsidP="003D79AD">
                      <w:r>
                        <w:t xml:space="preserve">© Český statistický úřad / </w:t>
                      </w:r>
                      <w:r>
                        <w:rPr>
                          <w:i/>
                        </w:rPr>
                        <w:t xml:space="preserve">Czech </w:t>
                      </w:r>
                      <w:proofErr w:type="spellStart"/>
                      <w:r>
                        <w:rPr>
                          <w:rFonts w:cs="Arial"/>
                          <w:i/>
                          <w:szCs w:val="20"/>
                        </w:rPr>
                        <w:t>Statistical</w:t>
                      </w:r>
                      <w:proofErr w:type="spellEnd"/>
                      <w:r>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71040" behindDoc="0" locked="1" layoutInCell="1" allowOverlap="1" wp14:anchorId="19D71BC8" wp14:editId="6C518CD0">
                <wp:simplePos x="0" y="0"/>
                <wp:positionH relativeFrom="page">
                  <wp:posOffset>723265</wp:posOffset>
                </wp:positionH>
                <wp:positionV relativeFrom="page">
                  <wp:posOffset>723265</wp:posOffset>
                </wp:positionV>
                <wp:extent cx="6119495" cy="572770"/>
                <wp:effectExtent l="0" t="0" r="14605" b="17780"/>
                <wp:wrapNone/>
                <wp:docPr id="46" name="Textové pol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FB21" w14:textId="77777777" w:rsidR="009173E5" w:rsidRDefault="009173E5" w:rsidP="003D79AD">
                            <w:pPr>
                              <w:rPr>
                                <w:b/>
                                <w:bCs/>
                                <w:i/>
                                <w:sz w:val="24"/>
                              </w:rPr>
                            </w:pPr>
                            <w:r>
                              <w:rPr>
                                <w:b/>
                                <w:color w:val="0071BC"/>
                                <w:sz w:val="24"/>
                              </w:rPr>
                              <w:t xml:space="preserve">Zajímají Vás nejnovější údaje o inflaci, HDP, obyvatelstvu, průměrných mzdách </w:t>
                            </w:r>
                            <w:r>
                              <w:rPr>
                                <w:b/>
                                <w:color w:val="0071BC"/>
                                <w:sz w:val="24"/>
                              </w:rPr>
                              <w:br/>
                              <w:t xml:space="preserve">a 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D71BC8" id="Textové pole 46" o:spid="_x0000_s1032" type="#_x0000_t202" style="position:absolute;margin-left:56.95pt;margin-top:56.95pt;width:481.85pt;height:45.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" filled="f" stroked="f">
                <v:textbox style="mso-fit-shape-to-text:t" inset="0,0,0,0">
                  <w:txbxContent>
                    <w:p w14:paraId="0D17FB21" w14:textId="77777777" w:rsidR="009173E5" w:rsidRDefault="009173E5" w:rsidP="003D79AD">
                      <w:pPr>
                        <w:rPr>
                          <w:b/>
                          <w:bCs/>
                          <w:i/>
                          <w:sz w:val="24"/>
                        </w:rPr>
                      </w:pPr>
                      <w:r>
                        <w:rPr>
                          <w:b/>
                          <w:color w:val="0071BC"/>
                          <w:sz w:val="24"/>
                        </w:rPr>
                        <w:t xml:space="preserve">Zajímají Vás nejnovější údaje o inflaci, HDP, obyvatelstvu, průměrných mzdách </w:t>
                      </w:r>
                      <w:r>
                        <w:rPr>
                          <w:b/>
                          <w:color w:val="0071BC"/>
                          <w:sz w:val="24"/>
                        </w:rPr>
                        <w:br/>
                        <w:t xml:space="preserve">a mnohé další? Najdete je na stránkách ČSÚ na internetu: </w:t>
                      </w:r>
                      <w:r>
                        <w:rPr>
                          <w:b/>
                          <w:bCs/>
                          <w:sz w:val="24"/>
                        </w:rPr>
                        <w:t>www.czso.cz</w:t>
                      </w:r>
                    </w:p>
                  </w:txbxContent>
                </v:textbox>
                <w10:wrap anchorx="page" anchory="page"/>
                <w10:anchorlock/>
              </v:shape>
            </w:pict>
          </mc:Fallback>
        </mc:AlternateContent>
      </w:r>
    </w:p>
    <w:p w14:paraId="74E79047" w14:textId="77777777" w:rsidR="003D79AD" w:rsidRDefault="003D79AD" w:rsidP="003D79AD">
      <w:pPr>
        <w:spacing w:after="0"/>
        <w:rPr>
          <w:lang w:eastAsia="ar-SA"/>
        </w:rPr>
        <w:sectPr w:rsidR="003D79AD">
          <w:pgSz w:w="11906" w:h="16838"/>
          <w:pgMar w:top="1134" w:right="1134" w:bottom="1418" w:left="1134" w:header="709" w:footer="709" w:gutter="0"/>
          <w:pgNumType w:start="1"/>
          <w:cols w:space="708"/>
        </w:sectPr>
      </w:pPr>
    </w:p>
    <w:p w14:paraId="7296DCB1" w14:textId="6CCD2A01" w:rsidR="003D79AD" w:rsidRDefault="003D79AD" w:rsidP="003D79AD">
      <w:pPr>
        <w:pStyle w:val="Obsah"/>
      </w:pPr>
      <w:r>
        <w:lastRenderedPageBreak/>
        <w:t>Obsah</w:t>
      </w:r>
    </w:p>
    <w:tbl>
      <w:tblPr>
        <w:tblW w:w="9840" w:type="dxa"/>
        <w:tblInd w:w="55" w:type="dxa"/>
        <w:tblCellMar>
          <w:left w:w="70" w:type="dxa"/>
          <w:right w:w="70" w:type="dxa"/>
        </w:tblCellMar>
        <w:tblLook w:val="04A0" w:firstRow="1" w:lastRow="0" w:firstColumn="1" w:lastColumn="0" w:noHBand="0" w:noVBand="1"/>
      </w:tblPr>
      <w:tblGrid>
        <w:gridCol w:w="1000"/>
        <w:gridCol w:w="8440"/>
        <w:gridCol w:w="400"/>
      </w:tblGrid>
      <w:tr w:rsidR="002B4773" w:rsidRPr="002B4773" w14:paraId="73BCD4C5" w14:textId="77777777" w:rsidTr="002B4773">
        <w:trPr>
          <w:trHeight w:val="255"/>
        </w:trPr>
        <w:tc>
          <w:tcPr>
            <w:tcW w:w="1000" w:type="dxa"/>
            <w:tcBorders>
              <w:top w:val="nil"/>
              <w:left w:val="nil"/>
              <w:bottom w:val="nil"/>
              <w:right w:val="nil"/>
            </w:tcBorders>
            <w:shd w:val="clear" w:color="auto" w:fill="auto"/>
            <w:noWrap/>
            <w:vAlign w:val="center"/>
            <w:hideMark/>
          </w:tcPr>
          <w:p w14:paraId="73AE2460" w14:textId="77777777" w:rsidR="002B4773" w:rsidRPr="002B4773" w:rsidRDefault="002B4773" w:rsidP="00E02A6F">
            <w:pPr>
              <w:spacing w:after="0" w:line="276" w:lineRule="auto"/>
              <w:rPr>
                <w:rFonts w:cs="Arial"/>
                <w:szCs w:val="20"/>
              </w:rPr>
            </w:pPr>
            <w:r w:rsidRPr="002B4773">
              <w:rPr>
                <w:rFonts w:cs="Arial"/>
                <w:szCs w:val="20"/>
              </w:rPr>
              <w:t>Úvod</w:t>
            </w:r>
          </w:p>
        </w:tc>
        <w:tc>
          <w:tcPr>
            <w:tcW w:w="8440" w:type="dxa"/>
            <w:tcBorders>
              <w:top w:val="nil"/>
              <w:left w:val="nil"/>
              <w:bottom w:val="nil"/>
              <w:right w:val="nil"/>
            </w:tcBorders>
            <w:shd w:val="clear" w:color="auto" w:fill="auto"/>
            <w:noWrap/>
            <w:vAlign w:val="bottom"/>
            <w:hideMark/>
          </w:tcPr>
          <w:p w14:paraId="7AB6737A" w14:textId="77777777" w:rsidR="002B4773" w:rsidRPr="002B4773" w:rsidRDefault="002B4773" w:rsidP="00E02A6F">
            <w:pPr>
              <w:spacing w:after="0" w:line="276" w:lineRule="auto"/>
              <w:rPr>
                <w:rFonts w:cs="Arial"/>
                <w:color w:val="000000"/>
                <w:szCs w:val="20"/>
              </w:rPr>
            </w:pPr>
          </w:p>
        </w:tc>
        <w:tc>
          <w:tcPr>
            <w:tcW w:w="400" w:type="dxa"/>
            <w:tcBorders>
              <w:top w:val="nil"/>
              <w:left w:val="nil"/>
              <w:bottom w:val="nil"/>
              <w:right w:val="nil"/>
            </w:tcBorders>
            <w:shd w:val="clear" w:color="auto" w:fill="auto"/>
            <w:noWrap/>
            <w:vAlign w:val="bottom"/>
            <w:hideMark/>
          </w:tcPr>
          <w:p w14:paraId="44791238" w14:textId="77777777" w:rsidR="002B4773" w:rsidRPr="002B4773" w:rsidRDefault="002B4773" w:rsidP="002B4773">
            <w:pPr>
              <w:spacing w:after="0" w:line="240" w:lineRule="auto"/>
              <w:jc w:val="right"/>
              <w:rPr>
                <w:rFonts w:cs="Arial"/>
                <w:color w:val="000000"/>
                <w:szCs w:val="20"/>
              </w:rPr>
            </w:pPr>
            <w:r w:rsidRPr="002B4773">
              <w:rPr>
                <w:rFonts w:cs="Arial"/>
                <w:color w:val="000000"/>
                <w:szCs w:val="20"/>
              </w:rPr>
              <w:t>4</w:t>
            </w:r>
          </w:p>
        </w:tc>
      </w:tr>
      <w:tr w:rsidR="002B4773" w:rsidRPr="002B4773" w14:paraId="72193E52" w14:textId="77777777" w:rsidTr="00E8086E">
        <w:trPr>
          <w:trHeight w:val="255"/>
        </w:trPr>
        <w:tc>
          <w:tcPr>
            <w:tcW w:w="9440" w:type="dxa"/>
            <w:gridSpan w:val="2"/>
            <w:tcBorders>
              <w:top w:val="nil"/>
              <w:left w:val="nil"/>
              <w:bottom w:val="nil"/>
              <w:right w:val="nil"/>
            </w:tcBorders>
            <w:shd w:val="clear" w:color="auto" w:fill="auto"/>
            <w:noWrap/>
            <w:vAlign w:val="center"/>
          </w:tcPr>
          <w:p w14:paraId="2E3B6F05" w14:textId="12A1B1EF" w:rsidR="002B4773" w:rsidRPr="002B4773" w:rsidRDefault="00252DB5" w:rsidP="00E02A6F">
            <w:pPr>
              <w:spacing w:after="0" w:line="276" w:lineRule="auto"/>
              <w:rPr>
                <w:rFonts w:cs="Arial"/>
                <w:szCs w:val="20"/>
              </w:rPr>
            </w:pPr>
            <w:r>
              <w:rPr>
                <w:rFonts w:cs="Arial"/>
                <w:szCs w:val="20"/>
              </w:rPr>
              <w:t xml:space="preserve">Demografické </w:t>
            </w:r>
            <w:r w:rsidR="00435CF7">
              <w:rPr>
                <w:rFonts w:cs="Arial"/>
                <w:szCs w:val="20"/>
              </w:rPr>
              <w:t>souvislosti</w:t>
            </w:r>
          </w:p>
        </w:tc>
        <w:tc>
          <w:tcPr>
            <w:tcW w:w="400" w:type="dxa"/>
            <w:tcBorders>
              <w:top w:val="nil"/>
              <w:left w:val="nil"/>
              <w:bottom w:val="nil"/>
              <w:right w:val="nil"/>
            </w:tcBorders>
            <w:shd w:val="clear" w:color="auto" w:fill="auto"/>
            <w:noWrap/>
            <w:vAlign w:val="bottom"/>
            <w:hideMark/>
          </w:tcPr>
          <w:p w14:paraId="391EEA8F" w14:textId="463661CD" w:rsidR="002B4773" w:rsidRPr="002B4773" w:rsidRDefault="00252DB5" w:rsidP="002B4773">
            <w:pPr>
              <w:spacing w:after="0" w:line="240" w:lineRule="auto"/>
              <w:jc w:val="right"/>
              <w:rPr>
                <w:rFonts w:cs="Arial"/>
                <w:color w:val="000000"/>
                <w:szCs w:val="20"/>
              </w:rPr>
            </w:pPr>
            <w:r>
              <w:rPr>
                <w:rFonts w:cs="Arial"/>
                <w:color w:val="000000"/>
                <w:szCs w:val="20"/>
              </w:rPr>
              <w:t>5</w:t>
            </w:r>
          </w:p>
        </w:tc>
      </w:tr>
      <w:tr w:rsidR="002B4773" w:rsidRPr="00252DB5" w14:paraId="2ED63A64" w14:textId="77777777" w:rsidTr="00E8086E">
        <w:trPr>
          <w:trHeight w:val="255"/>
        </w:trPr>
        <w:tc>
          <w:tcPr>
            <w:tcW w:w="9440" w:type="dxa"/>
            <w:gridSpan w:val="2"/>
            <w:tcBorders>
              <w:top w:val="nil"/>
              <w:left w:val="nil"/>
              <w:bottom w:val="nil"/>
              <w:right w:val="nil"/>
            </w:tcBorders>
            <w:shd w:val="clear" w:color="auto" w:fill="auto"/>
            <w:noWrap/>
            <w:vAlign w:val="center"/>
          </w:tcPr>
          <w:p w14:paraId="406FF088" w14:textId="3FD40D90" w:rsidR="002B4773" w:rsidRPr="00252DB5" w:rsidRDefault="00252DB5" w:rsidP="00E02A6F">
            <w:pPr>
              <w:spacing w:after="0" w:line="276" w:lineRule="auto"/>
              <w:rPr>
                <w:rFonts w:cs="Arial"/>
                <w:szCs w:val="20"/>
              </w:rPr>
            </w:pPr>
            <w:r>
              <w:rPr>
                <w:rFonts w:cs="Arial"/>
                <w:szCs w:val="20"/>
              </w:rPr>
              <w:t>Závislosti a zdravý životní styl</w:t>
            </w:r>
          </w:p>
        </w:tc>
        <w:tc>
          <w:tcPr>
            <w:tcW w:w="400" w:type="dxa"/>
            <w:tcBorders>
              <w:top w:val="nil"/>
              <w:left w:val="nil"/>
              <w:bottom w:val="nil"/>
              <w:right w:val="nil"/>
            </w:tcBorders>
            <w:shd w:val="clear" w:color="auto" w:fill="auto"/>
            <w:noWrap/>
            <w:vAlign w:val="bottom"/>
            <w:hideMark/>
          </w:tcPr>
          <w:p w14:paraId="216B5CDC" w14:textId="27A2F1A2" w:rsidR="002B4773" w:rsidRPr="00252DB5" w:rsidRDefault="00FB51FE" w:rsidP="00252DB5">
            <w:pPr>
              <w:spacing w:after="0" w:line="240" w:lineRule="auto"/>
              <w:jc w:val="right"/>
              <w:rPr>
                <w:rFonts w:cs="Arial"/>
                <w:color w:val="000000"/>
                <w:szCs w:val="20"/>
              </w:rPr>
            </w:pPr>
            <w:r>
              <w:rPr>
                <w:rFonts w:cs="Arial"/>
                <w:color w:val="000000"/>
                <w:szCs w:val="20"/>
              </w:rPr>
              <w:t>8</w:t>
            </w:r>
          </w:p>
        </w:tc>
      </w:tr>
      <w:tr w:rsidR="002B4773" w:rsidRPr="00252DB5" w14:paraId="17EBAF49" w14:textId="77777777" w:rsidTr="00E8086E">
        <w:trPr>
          <w:trHeight w:val="255"/>
        </w:trPr>
        <w:tc>
          <w:tcPr>
            <w:tcW w:w="9440" w:type="dxa"/>
            <w:gridSpan w:val="2"/>
            <w:tcBorders>
              <w:top w:val="nil"/>
              <w:left w:val="nil"/>
              <w:bottom w:val="nil"/>
              <w:right w:val="nil"/>
            </w:tcBorders>
            <w:shd w:val="clear" w:color="auto" w:fill="auto"/>
            <w:noWrap/>
            <w:vAlign w:val="bottom"/>
          </w:tcPr>
          <w:p w14:paraId="6B8AD954" w14:textId="21253CFF" w:rsidR="002B4773" w:rsidRPr="00252DB5" w:rsidRDefault="002410BD" w:rsidP="00E02A6F">
            <w:pPr>
              <w:spacing w:after="0" w:line="276" w:lineRule="auto"/>
              <w:rPr>
                <w:rFonts w:cs="Arial"/>
                <w:szCs w:val="20"/>
              </w:rPr>
            </w:pPr>
            <w:r>
              <w:rPr>
                <w:rFonts w:cs="Arial"/>
                <w:szCs w:val="20"/>
              </w:rPr>
              <w:t>Vzdělání a informační společnost</w:t>
            </w:r>
          </w:p>
        </w:tc>
        <w:tc>
          <w:tcPr>
            <w:tcW w:w="400" w:type="dxa"/>
            <w:tcBorders>
              <w:top w:val="nil"/>
              <w:left w:val="nil"/>
              <w:bottom w:val="nil"/>
              <w:right w:val="nil"/>
            </w:tcBorders>
            <w:shd w:val="clear" w:color="auto" w:fill="auto"/>
            <w:noWrap/>
            <w:vAlign w:val="bottom"/>
            <w:hideMark/>
          </w:tcPr>
          <w:p w14:paraId="48C064E6" w14:textId="0DB1ECE3" w:rsidR="002B4773" w:rsidRPr="00252DB5" w:rsidRDefault="00FB51FE" w:rsidP="00252DB5">
            <w:pPr>
              <w:spacing w:after="0" w:line="240" w:lineRule="auto"/>
              <w:jc w:val="right"/>
              <w:rPr>
                <w:rFonts w:cs="Arial"/>
                <w:color w:val="000000"/>
                <w:szCs w:val="20"/>
              </w:rPr>
            </w:pPr>
            <w:r>
              <w:rPr>
                <w:rFonts w:cs="Arial"/>
                <w:color w:val="000000"/>
                <w:szCs w:val="20"/>
              </w:rPr>
              <w:t>11</w:t>
            </w:r>
          </w:p>
        </w:tc>
      </w:tr>
      <w:tr w:rsidR="002B4773" w:rsidRPr="00252DB5" w14:paraId="2896B957" w14:textId="77777777" w:rsidTr="00E8086E">
        <w:trPr>
          <w:trHeight w:val="255"/>
        </w:trPr>
        <w:tc>
          <w:tcPr>
            <w:tcW w:w="9440" w:type="dxa"/>
            <w:gridSpan w:val="2"/>
            <w:tcBorders>
              <w:top w:val="nil"/>
              <w:left w:val="nil"/>
              <w:bottom w:val="nil"/>
              <w:right w:val="nil"/>
            </w:tcBorders>
            <w:shd w:val="clear" w:color="auto" w:fill="auto"/>
            <w:noWrap/>
            <w:vAlign w:val="center"/>
          </w:tcPr>
          <w:p w14:paraId="47B0544B" w14:textId="55E9361D" w:rsidR="002B4773" w:rsidRPr="00252DB5" w:rsidRDefault="002410BD" w:rsidP="00E02A6F">
            <w:pPr>
              <w:spacing w:after="0" w:line="276" w:lineRule="auto"/>
              <w:rPr>
                <w:rFonts w:cs="Arial"/>
                <w:szCs w:val="20"/>
              </w:rPr>
            </w:pPr>
            <w:r>
              <w:rPr>
                <w:rFonts w:cs="Arial"/>
                <w:szCs w:val="20"/>
              </w:rPr>
              <w:t>Mzdy a účast seniorů na trhu práce</w:t>
            </w:r>
          </w:p>
        </w:tc>
        <w:tc>
          <w:tcPr>
            <w:tcW w:w="400" w:type="dxa"/>
            <w:tcBorders>
              <w:top w:val="nil"/>
              <w:left w:val="nil"/>
              <w:bottom w:val="nil"/>
              <w:right w:val="nil"/>
            </w:tcBorders>
            <w:shd w:val="clear" w:color="auto" w:fill="auto"/>
            <w:noWrap/>
            <w:vAlign w:val="bottom"/>
            <w:hideMark/>
          </w:tcPr>
          <w:p w14:paraId="529E93BE" w14:textId="1D2E78A8" w:rsidR="002B4773" w:rsidRPr="00252DB5" w:rsidRDefault="002410BD" w:rsidP="00A10C3F">
            <w:pPr>
              <w:spacing w:after="0" w:line="240" w:lineRule="auto"/>
              <w:jc w:val="right"/>
              <w:rPr>
                <w:rFonts w:cs="Arial"/>
                <w:color w:val="000000"/>
                <w:szCs w:val="20"/>
              </w:rPr>
            </w:pPr>
            <w:r>
              <w:rPr>
                <w:rFonts w:cs="Arial"/>
                <w:color w:val="000000"/>
                <w:szCs w:val="20"/>
              </w:rPr>
              <w:t>1</w:t>
            </w:r>
            <w:r w:rsidR="00FB51FE">
              <w:rPr>
                <w:rFonts w:cs="Arial"/>
                <w:color w:val="000000"/>
                <w:szCs w:val="20"/>
              </w:rPr>
              <w:t>2</w:t>
            </w:r>
          </w:p>
        </w:tc>
      </w:tr>
      <w:tr w:rsidR="002B4773" w:rsidRPr="00252DB5" w14:paraId="5864537F" w14:textId="77777777" w:rsidTr="00E8086E">
        <w:trPr>
          <w:trHeight w:val="255"/>
        </w:trPr>
        <w:tc>
          <w:tcPr>
            <w:tcW w:w="9440" w:type="dxa"/>
            <w:gridSpan w:val="2"/>
            <w:tcBorders>
              <w:top w:val="nil"/>
              <w:left w:val="nil"/>
              <w:bottom w:val="nil"/>
              <w:right w:val="nil"/>
            </w:tcBorders>
            <w:shd w:val="clear" w:color="auto" w:fill="auto"/>
            <w:noWrap/>
            <w:vAlign w:val="center"/>
          </w:tcPr>
          <w:p w14:paraId="395105DD" w14:textId="0F58C3FD" w:rsidR="002B4773" w:rsidRPr="00252DB5" w:rsidRDefault="002410BD" w:rsidP="00E02A6F">
            <w:pPr>
              <w:spacing w:after="0" w:line="276" w:lineRule="auto"/>
              <w:rPr>
                <w:rFonts w:cs="Arial"/>
                <w:szCs w:val="20"/>
              </w:rPr>
            </w:pPr>
            <w:r>
              <w:rPr>
                <w:rFonts w:cs="Arial"/>
                <w:szCs w:val="20"/>
              </w:rPr>
              <w:t>Důchody</w:t>
            </w:r>
          </w:p>
        </w:tc>
        <w:tc>
          <w:tcPr>
            <w:tcW w:w="400" w:type="dxa"/>
            <w:tcBorders>
              <w:top w:val="nil"/>
              <w:left w:val="nil"/>
              <w:bottom w:val="nil"/>
              <w:right w:val="nil"/>
            </w:tcBorders>
            <w:shd w:val="clear" w:color="auto" w:fill="auto"/>
            <w:noWrap/>
            <w:vAlign w:val="bottom"/>
            <w:hideMark/>
          </w:tcPr>
          <w:p w14:paraId="745ABF28" w14:textId="31CCC732" w:rsidR="002B4773" w:rsidRPr="00252DB5" w:rsidRDefault="002B4773" w:rsidP="00FB51FE">
            <w:pPr>
              <w:spacing w:after="0" w:line="240" w:lineRule="auto"/>
              <w:jc w:val="right"/>
              <w:rPr>
                <w:rFonts w:cs="Arial"/>
                <w:color w:val="000000"/>
                <w:szCs w:val="20"/>
              </w:rPr>
            </w:pPr>
            <w:r w:rsidRPr="00252DB5">
              <w:rPr>
                <w:rFonts w:cs="Arial"/>
                <w:color w:val="000000"/>
                <w:szCs w:val="20"/>
              </w:rPr>
              <w:t>1</w:t>
            </w:r>
            <w:r w:rsidR="00FB51FE">
              <w:rPr>
                <w:rFonts w:cs="Arial"/>
                <w:color w:val="000000"/>
                <w:szCs w:val="20"/>
              </w:rPr>
              <w:t>4</w:t>
            </w:r>
          </w:p>
        </w:tc>
      </w:tr>
      <w:tr w:rsidR="002B4773" w:rsidRPr="00252DB5" w14:paraId="53CA7E76" w14:textId="77777777" w:rsidTr="00E8086E">
        <w:trPr>
          <w:trHeight w:val="255"/>
        </w:trPr>
        <w:tc>
          <w:tcPr>
            <w:tcW w:w="9440" w:type="dxa"/>
            <w:gridSpan w:val="2"/>
            <w:tcBorders>
              <w:top w:val="nil"/>
              <w:left w:val="nil"/>
              <w:bottom w:val="nil"/>
              <w:right w:val="nil"/>
            </w:tcBorders>
            <w:shd w:val="clear" w:color="auto" w:fill="auto"/>
            <w:noWrap/>
            <w:vAlign w:val="center"/>
          </w:tcPr>
          <w:p w14:paraId="5E93AF32" w14:textId="2583D5D7" w:rsidR="002B4773" w:rsidRPr="00252DB5" w:rsidRDefault="002410BD" w:rsidP="00E02A6F">
            <w:pPr>
              <w:spacing w:after="0" w:line="276" w:lineRule="auto"/>
              <w:rPr>
                <w:rFonts w:cs="Arial"/>
                <w:szCs w:val="20"/>
              </w:rPr>
            </w:pPr>
            <w:r>
              <w:rPr>
                <w:rFonts w:cs="Arial"/>
                <w:szCs w:val="20"/>
              </w:rPr>
              <w:t>Příjmy domácností</w:t>
            </w:r>
          </w:p>
        </w:tc>
        <w:tc>
          <w:tcPr>
            <w:tcW w:w="400" w:type="dxa"/>
            <w:tcBorders>
              <w:top w:val="nil"/>
              <w:left w:val="nil"/>
              <w:bottom w:val="nil"/>
              <w:right w:val="nil"/>
            </w:tcBorders>
            <w:shd w:val="clear" w:color="auto" w:fill="auto"/>
            <w:noWrap/>
            <w:vAlign w:val="bottom"/>
            <w:hideMark/>
          </w:tcPr>
          <w:p w14:paraId="62B4F93D" w14:textId="26987A18" w:rsidR="002B4773" w:rsidRPr="00252DB5" w:rsidRDefault="002B4773" w:rsidP="00FB51FE">
            <w:pPr>
              <w:spacing w:after="0" w:line="240" w:lineRule="auto"/>
              <w:jc w:val="right"/>
              <w:rPr>
                <w:rFonts w:cs="Arial"/>
                <w:color w:val="000000"/>
                <w:szCs w:val="20"/>
              </w:rPr>
            </w:pPr>
            <w:r w:rsidRPr="00252DB5">
              <w:rPr>
                <w:rFonts w:cs="Arial"/>
                <w:color w:val="000000"/>
                <w:szCs w:val="20"/>
              </w:rPr>
              <w:t>1</w:t>
            </w:r>
            <w:r w:rsidR="00FB51FE">
              <w:rPr>
                <w:rFonts w:cs="Arial"/>
                <w:color w:val="000000"/>
                <w:szCs w:val="20"/>
              </w:rPr>
              <w:t>6</w:t>
            </w:r>
          </w:p>
        </w:tc>
      </w:tr>
      <w:tr w:rsidR="002B4773" w:rsidRPr="00252DB5" w14:paraId="6495699F" w14:textId="77777777" w:rsidTr="00E8086E">
        <w:trPr>
          <w:trHeight w:val="255"/>
        </w:trPr>
        <w:tc>
          <w:tcPr>
            <w:tcW w:w="9440" w:type="dxa"/>
            <w:gridSpan w:val="2"/>
            <w:tcBorders>
              <w:top w:val="nil"/>
              <w:left w:val="nil"/>
              <w:bottom w:val="nil"/>
              <w:right w:val="nil"/>
            </w:tcBorders>
            <w:shd w:val="clear" w:color="auto" w:fill="auto"/>
            <w:noWrap/>
            <w:vAlign w:val="bottom"/>
          </w:tcPr>
          <w:p w14:paraId="1A6264E3" w14:textId="07368E9F" w:rsidR="002B4773" w:rsidRPr="00252DB5" w:rsidRDefault="002410BD" w:rsidP="00E02A6F">
            <w:pPr>
              <w:spacing w:after="0" w:line="276" w:lineRule="auto"/>
              <w:rPr>
                <w:rFonts w:cs="Arial"/>
                <w:szCs w:val="20"/>
              </w:rPr>
            </w:pPr>
            <w:r>
              <w:rPr>
                <w:rFonts w:cs="Arial"/>
                <w:szCs w:val="20"/>
              </w:rPr>
              <w:t>Zdroje příjmů seniorů</w:t>
            </w:r>
          </w:p>
        </w:tc>
        <w:tc>
          <w:tcPr>
            <w:tcW w:w="400" w:type="dxa"/>
            <w:tcBorders>
              <w:top w:val="nil"/>
              <w:left w:val="nil"/>
              <w:bottom w:val="nil"/>
              <w:right w:val="nil"/>
            </w:tcBorders>
            <w:shd w:val="clear" w:color="auto" w:fill="auto"/>
            <w:noWrap/>
            <w:vAlign w:val="bottom"/>
            <w:hideMark/>
          </w:tcPr>
          <w:p w14:paraId="4BC52125" w14:textId="7B97A387" w:rsidR="002B4773" w:rsidRPr="00252DB5" w:rsidRDefault="002B4773" w:rsidP="00FB51FE">
            <w:pPr>
              <w:spacing w:after="0" w:line="240" w:lineRule="auto"/>
              <w:jc w:val="right"/>
              <w:rPr>
                <w:rFonts w:cs="Arial"/>
                <w:color w:val="000000"/>
                <w:szCs w:val="20"/>
              </w:rPr>
            </w:pPr>
            <w:r w:rsidRPr="00252DB5">
              <w:rPr>
                <w:rFonts w:cs="Arial"/>
                <w:color w:val="000000"/>
                <w:szCs w:val="20"/>
              </w:rPr>
              <w:t>1</w:t>
            </w:r>
            <w:r w:rsidR="00FB51FE">
              <w:rPr>
                <w:rFonts w:cs="Arial"/>
                <w:color w:val="000000"/>
                <w:szCs w:val="20"/>
              </w:rPr>
              <w:t>6</w:t>
            </w:r>
          </w:p>
        </w:tc>
      </w:tr>
      <w:tr w:rsidR="002B4773" w:rsidRPr="00252DB5" w14:paraId="266F1AE1" w14:textId="77777777" w:rsidTr="00E8086E">
        <w:trPr>
          <w:trHeight w:val="255"/>
        </w:trPr>
        <w:tc>
          <w:tcPr>
            <w:tcW w:w="9440" w:type="dxa"/>
            <w:gridSpan w:val="2"/>
            <w:tcBorders>
              <w:top w:val="nil"/>
              <w:left w:val="nil"/>
              <w:bottom w:val="nil"/>
              <w:right w:val="nil"/>
            </w:tcBorders>
            <w:shd w:val="clear" w:color="auto" w:fill="auto"/>
            <w:noWrap/>
            <w:vAlign w:val="center"/>
          </w:tcPr>
          <w:p w14:paraId="5301E927" w14:textId="1974DA84" w:rsidR="002B4773" w:rsidRPr="00252DB5" w:rsidRDefault="002410BD" w:rsidP="00E02A6F">
            <w:pPr>
              <w:spacing w:after="0" w:line="276" w:lineRule="auto"/>
              <w:rPr>
                <w:rFonts w:cs="Arial"/>
                <w:szCs w:val="20"/>
              </w:rPr>
            </w:pPr>
            <w:r>
              <w:rPr>
                <w:rFonts w:cs="Arial"/>
                <w:szCs w:val="20"/>
              </w:rPr>
              <w:t>Vycházení s příjmem</w:t>
            </w:r>
          </w:p>
        </w:tc>
        <w:tc>
          <w:tcPr>
            <w:tcW w:w="400" w:type="dxa"/>
            <w:tcBorders>
              <w:top w:val="nil"/>
              <w:left w:val="nil"/>
              <w:bottom w:val="nil"/>
              <w:right w:val="nil"/>
            </w:tcBorders>
            <w:shd w:val="clear" w:color="auto" w:fill="auto"/>
            <w:noWrap/>
            <w:vAlign w:val="bottom"/>
            <w:hideMark/>
          </w:tcPr>
          <w:p w14:paraId="0B5A68B2" w14:textId="75249F99" w:rsidR="002B4773" w:rsidRPr="00252DB5" w:rsidRDefault="00FB51FE" w:rsidP="00252DB5">
            <w:pPr>
              <w:spacing w:after="0" w:line="240" w:lineRule="auto"/>
              <w:jc w:val="right"/>
              <w:rPr>
                <w:rFonts w:cs="Arial"/>
                <w:color w:val="000000"/>
                <w:szCs w:val="20"/>
              </w:rPr>
            </w:pPr>
            <w:r>
              <w:rPr>
                <w:rFonts w:cs="Arial"/>
                <w:color w:val="000000"/>
                <w:szCs w:val="20"/>
              </w:rPr>
              <w:t>17</w:t>
            </w:r>
          </w:p>
        </w:tc>
      </w:tr>
      <w:tr w:rsidR="002B4773" w:rsidRPr="00252DB5" w14:paraId="6B9DB069" w14:textId="77777777" w:rsidTr="00E8086E">
        <w:trPr>
          <w:trHeight w:val="255"/>
        </w:trPr>
        <w:tc>
          <w:tcPr>
            <w:tcW w:w="9440" w:type="dxa"/>
            <w:gridSpan w:val="2"/>
            <w:tcBorders>
              <w:top w:val="nil"/>
              <w:left w:val="nil"/>
              <w:bottom w:val="nil"/>
              <w:right w:val="nil"/>
            </w:tcBorders>
            <w:shd w:val="clear" w:color="auto" w:fill="auto"/>
            <w:noWrap/>
            <w:vAlign w:val="center"/>
          </w:tcPr>
          <w:p w14:paraId="0F66F5A5" w14:textId="42FADE39" w:rsidR="002B4773" w:rsidRPr="00252DB5" w:rsidRDefault="002410BD" w:rsidP="00E02A6F">
            <w:pPr>
              <w:spacing w:after="0" w:line="276" w:lineRule="auto"/>
              <w:rPr>
                <w:rFonts w:cs="Arial"/>
                <w:szCs w:val="20"/>
              </w:rPr>
            </w:pPr>
            <w:r>
              <w:rPr>
                <w:rFonts w:cs="Arial"/>
                <w:szCs w:val="20"/>
              </w:rPr>
              <w:t>Příjmová chudoba</w:t>
            </w:r>
          </w:p>
        </w:tc>
        <w:tc>
          <w:tcPr>
            <w:tcW w:w="400" w:type="dxa"/>
            <w:tcBorders>
              <w:top w:val="nil"/>
              <w:left w:val="nil"/>
              <w:bottom w:val="nil"/>
              <w:right w:val="nil"/>
            </w:tcBorders>
            <w:shd w:val="clear" w:color="auto" w:fill="auto"/>
            <w:noWrap/>
            <w:vAlign w:val="bottom"/>
            <w:hideMark/>
          </w:tcPr>
          <w:p w14:paraId="7BEA6E7D" w14:textId="0ED9B4BA" w:rsidR="002B4773" w:rsidRPr="00252DB5" w:rsidRDefault="00FB51FE" w:rsidP="00252DB5">
            <w:pPr>
              <w:spacing w:after="0" w:line="240" w:lineRule="auto"/>
              <w:jc w:val="right"/>
              <w:rPr>
                <w:rFonts w:cs="Arial"/>
                <w:color w:val="000000"/>
                <w:szCs w:val="20"/>
              </w:rPr>
            </w:pPr>
            <w:r>
              <w:rPr>
                <w:rFonts w:cs="Arial"/>
                <w:color w:val="000000"/>
                <w:szCs w:val="20"/>
              </w:rPr>
              <w:t>18</w:t>
            </w:r>
          </w:p>
        </w:tc>
      </w:tr>
      <w:tr w:rsidR="002B4773" w:rsidRPr="00252DB5" w14:paraId="1CEFA230" w14:textId="77777777" w:rsidTr="00E8086E">
        <w:trPr>
          <w:trHeight w:val="255"/>
        </w:trPr>
        <w:tc>
          <w:tcPr>
            <w:tcW w:w="9440" w:type="dxa"/>
            <w:gridSpan w:val="2"/>
            <w:tcBorders>
              <w:top w:val="nil"/>
              <w:left w:val="nil"/>
              <w:bottom w:val="nil"/>
              <w:right w:val="nil"/>
            </w:tcBorders>
            <w:shd w:val="clear" w:color="auto" w:fill="auto"/>
            <w:noWrap/>
            <w:vAlign w:val="center"/>
          </w:tcPr>
          <w:p w14:paraId="1B85A7DB" w14:textId="7E516BF8" w:rsidR="002B4773" w:rsidRPr="00252DB5" w:rsidRDefault="002410BD" w:rsidP="00E02A6F">
            <w:pPr>
              <w:spacing w:after="0" w:line="276" w:lineRule="auto"/>
              <w:rPr>
                <w:rFonts w:cs="Arial"/>
                <w:szCs w:val="20"/>
              </w:rPr>
            </w:pPr>
            <w:r>
              <w:rPr>
                <w:rFonts w:cs="Arial"/>
                <w:szCs w:val="20"/>
              </w:rPr>
              <w:t>M</w:t>
            </w:r>
            <w:r w:rsidR="00724080">
              <w:rPr>
                <w:rFonts w:cs="Arial"/>
                <w:szCs w:val="20"/>
              </w:rPr>
              <w:t>ateriální a sociální depr</w:t>
            </w:r>
            <w:r>
              <w:rPr>
                <w:rFonts w:cs="Arial"/>
                <w:szCs w:val="20"/>
              </w:rPr>
              <w:t>ivace</w:t>
            </w:r>
          </w:p>
        </w:tc>
        <w:tc>
          <w:tcPr>
            <w:tcW w:w="400" w:type="dxa"/>
            <w:tcBorders>
              <w:top w:val="nil"/>
              <w:left w:val="nil"/>
              <w:bottom w:val="nil"/>
              <w:right w:val="nil"/>
            </w:tcBorders>
            <w:shd w:val="clear" w:color="auto" w:fill="auto"/>
            <w:noWrap/>
            <w:vAlign w:val="bottom"/>
            <w:hideMark/>
          </w:tcPr>
          <w:p w14:paraId="71852BD6" w14:textId="25E9EE23" w:rsidR="002B4773" w:rsidRPr="00252DB5" w:rsidRDefault="002B4773" w:rsidP="002410BD">
            <w:pPr>
              <w:spacing w:after="0" w:line="240" w:lineRule="auto"/>
              <w:jc w:val="right"/>
              <w:rPr>
                <w:rFonts w:cs="Arial"/>
                <w:color w:val="000000"/>
                <w:szCs w:val="20"/>
              </w:rPr>
            </w:pPr>
            <w:r w:rsidRPr="00252DB5">
              <w:rPr>
                <w:rFonts w:cs="Arial"/>
                <w:color w:val="000000"/>
                <w:szCs w:val="20"/>
              </w:rPr>
              <w:t>1</w:t>
            </w:r>
            <w:r w:rsidR="00FB51FE">
              <w:rPr>
                <w:rFonts w:cs="Arial"/>
                <w:color w:val="000000"/>
                <w:szCs w:val="20"/>
              </w:rPr>
              <w:t>8</w:t>
            </w:r>
          </w:p>
        </w:tc>
      </w:tr>
      <w:tr w:rsidR="002B4773" w:rsidRPr="00252DB5" w14:paraId="2B61DC2A" w14:textId="77777777" w:rsidTr="00E8086E">
        <w:trPr>
          <w:trHeight w:val="255"/>
        </w:trPr>
        <w:tc>
          <w:tcPr>
            <w:tcW w:w="9440" w:type="dxa"/>
            <w:gridSpan w:val="2"/>
            <w:tcBorders>
              <w:top w:val="nil"/>
              <w:left w:val="nil"/>
              <w:bottom w:val="nil"/>
              <w:right w:val="nil"/>
            </w:tcBorders>
            <w:shd w:val="clear" w:color="auto" w:fill="auto"/>
            <w:noWrap/>
            <w:vAlign w:val="center"/>
          </w:tcPr>
          <w:p w14:paraId="302DBF37" w14:textId="1CB4A5B5" w:rsidR="002B4773" w:rsidRPr="00252DB5" w:rsidRDefault="002410BD" w:rsidP="00E02A6F">
            <w:pPr>
              <w:spacing w:after="0" w:line="276" w:lineRule="auto"/>
              <w:rPr>
                <w:rFonts w:cs="Arial"/>
                <w:szCs w:val="20"/>
              </w:rPr>
            </w:pPr>
            <w:r>
              <w:rPr>
                <w:rFonts w:cs="Arial"/>
                <w:szCs w:val="20"/>
              </w:rPr>
              <w:t>Senioři a náklady na bydlení</w:t>
            </w:r>
          </w:p>
        </w:tc>
        <w:tc>
          <w:tcPr>
            <w:tcW w:w="400" w:type="dxa"/>
            <w:tcBorders>
              <w:top w:val="nil"/>
              <w:left w:val="nil"/>
              <w:bottom w:val="nil"/>
              <w:right w:val="nil"/>
            </w:tcBorders>
            <w:shd w:val="clear" w:color="auto" w:fill="auto"/>
            <w:noWrap/>
            <w:vAlign w:val="bottom"/>
            <w:hideMark/>
          </w:tcPr>
          <w:p w14:paraId="660D6829" w14:textId="500ACDF2" w:rsidR="002B4773" w:rsidRPr="00252DB5" w:rsidRDefault="00FB51FE" w:rsidP="00252DB5">
            <w:pPr>
              <w:spacing w:after="0" w:line="240" w:lineRule="auto"/>
              <w:jc w:val="right"/>
              <w:rPr>
                <w:rFonts w:cs="Arial"/>
                <w:color w:val="000000"/>
                <w:szCs w:val="20"/>
              </w:rPr>
            </w:pPr>
            <w:r>
              <w:rPr>
                <w:rFonts w:cs="Arial"/>
                <w:color w:val="000000"/>
                <w:szCs w:val="20"/>
              </w:rPr>
              <w:t>19</w:t>
            </w:r>
          </w:p>
        </w:tc>
      </w:tr>
      <w:tr w:rsidR="002B4773" w:rsidRPr="00252DB5" w14:paraId="2E778327" w14:textId="77777777" w:rsidTr="00E8086E">
        <w:trPr>
          <w:trHeight w:val="255"/>
        </w:trPr>
        <w:tc>
          <w:tcPr>
            <w:tcW w:w="9440" w:type="dxa"/>
            <w:gridSpan w:val="2"/>
            <w:tcBorders>
              <w:top w:val="nil"/>
              <w:left w:val="nil"/>
              <w:bottom w:val="nil"/>
              <w:right w:val="nil"/>
            </w:tcBorders>
            <w:shd w:val="clear" w:color="auto" w:fill="auto"/>
            <w:noWrap/>
            <w:vAlign w:val="center"/>
          </w:tcPr>
          <w:p w14:paraId="6D7E6E83" w14:textId="1CDDB8D4" w:rsidR="002B4773" w:rsidRPr="00252DB5" w:rsidRDefault="002410BD" w:rsidP="00E02A6F">
            <w:pPr>
              <w:spacing w:after="0" w:line="276" w:lineRule="auto"/>
              <w:rPr>
                <w:rFonts w:cs="Arial"/>
                <w:szCs w:val="20"/>
              </w:rPr>
            </w:pPr>
            <w:r>
              <w:rPr>
                <w:rFonts w:cs="Arial"/>
                <w:szCs w:val="20"/>
              </w:rPr>
              <w:t>Mezinárodní srovnání</w:t>
            </w:r>
          </w:p>
        </w:tc>
        <w:tc>
          <w:tcPr>
            <w:tcW w:w="400" w:type="dxa"/>
            <w:tcBorders>
              <w:top w:val="nil"/>
              <w:left w:val="nil"/>
              <w:bottom w:val="nil"/>
              <w:right w:val="nil"/>
            </w:tcBorders>
            <w:shd w:val="clear" w:color="auto" w:fill="auto"/>
            <w:noWrap/>
            <w:vAlign w:val="bottom"/>
            <w:hideMark/>
          </w:tcPr>
          <w:p w14:paraId="26629193" w14:textId="504264D9" w:rsidR="002B4773" w:rsidRPr="00252DB5" w:rsidRDefault="00FB51FE" w:rsidP="00252DB5">
            <w:pPr>
              <w:spacing w:after="0" w:line="240" w:lineRule="auto"/>
              <w:jc w:val="right"/>
              <w:rPr>
                <w:rFonts w:cs="Arial"/>
                <w:color w:val="000000"/>
                <w:szCs w:val="20"/>
              </w:rPr>
            </w:pPr>
            <w:r>
              <w:rPr>
                <w:rFonts w:cs="Arial"/>
                <w:color w:val="000000"/>
                <w:szCs w:val="20"/>
              </w:rPr>
              <w:t>20</w:t>
            </w:r>
          </w:p>
        </w:tc>
      </w:tr>
      <w:tr w:rsidR="002B4773" w:rsidRPr="00252DB5" w14:paraId="629F14CD" w14:textId="77777777" w:rsidTr="00E8086E">
        <w:trPr>
          <w:trHeight w:val="255"/>
        </w:trPr>
        <w:tc>
          <w:tcPr>
            <w:tcW w:w="9440" w:type="dxa"/>
            <w:gridSpan w:val="2"/>
            <w:tcBorders>
              <w:top w:val="nil"/>
              <w:left w:val="nil"/>
              <w:bottom w:val="nil"/>
              <w:right w:val="nil"/>
            </w:tcBorders>
            <w:shd w:val="clear" w:color="auto" w:fill="auto"/>
            <w:noWrap/>
            <w:vAlign w:val="center"/>
          </w:tcPr>
          <w:p w14:paraId="39EF4556" w14:textId="0E391DBE" w:rsidR="002B4773" w:rsidRPr="00252DB5" w:rsidRDefault="002410BD" w:rsidP="00E02A6F">
            <w:pPr>
              <w:spacing w:after="0" w:line="276" w:lineRule="auto"/>
              <w:rPr>
                <w:rFonts w:cs="Arial"/>
                <w:szCs w:val="20"/>
              </w:rPr>
            </w:pPr>
            <w:r>
              <w:rPr>
                <w:rFonts w:cs="Arial"/>
                <w:szCs w:val="20"/>
              </w:rPr>
              <w:t>S</w:t>
            </w:r>
            <w:r w:rsidR="00724080">
              <w:rPr>
                <w:rFonts w:cs="Arial"/>
                <w:szCs w:val="20"/>
              </w:rPr>
              <w:t>hrnutí</w:t>
            </w:r>
          </w:p>
        </w:tc>
        <w:tc>
          <w:tcPr>
            <w:tcW w:w="400" w:type="dxa"/>
            <w:tcBorders>
              <w:top w:val="nil"/>
              <w:left w:val="nil"/>
              <w:bottom w:val="nil"/>
              <w:right w:val="nil"/>
            </w:tcBorders>
            <w:shd w:val="clear" w:color="auto" w:fill="auto"/>
            <w:noWrap/>
            <w:vAlign w:val="bottom"/>
            <w:hideMark/>
          </w:tcPr>
          <w:p w14:paraId="2B43C9BD" w14:textId="4DD3B04F" w:rsidR="002B4773" w:rsidRPr="00252DB5" w:rsidRDefault="002B4773" w:rsidP="00FB51FE">
            <w:pPr>
              <w:spacing w:after="0" w:line="240" w:lineRule="auto"/>
              <w:jc w:val="right"/>
              <w:rPr>
                <w:rFonts w:cs="Arial"/>
                <w:color w:val="000000"/>
                <w:szCs w:val="20"/>
              </w:rPr>
            </w:pPr>
            <w:r w:rsidRPr="00252DB5">
              <w:rPr>
                <w:rFonts w:cs="Arial"/>
                <w:color w:val="000000"/>
                <w:szCs w:val="20"/>
              </w:rPr>
              <w:t>2</w:t>
            </w:r>
            <w:r w:rsidR="00FB51FE">
              <w:rPr>
                <w:rFonts w:cs="Arial"/>
                <w:color w:val="000000"/>
                <w:szCs w:val="20"/>
              </w:rPr>
              <w:t>2</w:t>
            </w:r>
          </w:p>
        </w:tc>
      </w:tr>
    </w:tbl>
    <w:p w14:paraId="183054B4" w14:textId="6E3A8537" w:rsidR="00715FD6" w:rsidRDefault="00715FD6" w:rsidP="00252DB5"/>
    <w:p w14:paraId="56283E96" w14:textId="32180F91" w:rsidR="00715FD6" w:rsidRPr="008E7FAA" w:rsidRDefault="00715FD6" w:rsidP="00144C70">
      <w:pPr>
        <w:rPr>
          <w:rFonts w:cs="Arial"/>
          <w:b/>
          <w:szCs w:val="20"/>
        </w:rPr>
      </w:pPr>
      <w:r>
        <w:br w:type="column"/>
      </w:r>
      <w:r w:rsidRPr="008E7FAA">
        <w:rPr>
          <w:rFonts w:cs="Arial"/>
          <w:b/>
          <w:szCs w:val="20"/>
        </w:rPr>
        <w:lastRenderedPageBreak/>
        <w:t>Úvod</w:t>
      </w:r>
    </w:p>
    <w:p w14:paraId="60F5F6A7" w14:textId="19BB7627" w:rsidR="00715FD6" w:rsidRPr="008E7FAA" w:rsidRDefault="00715FD6" w:rsidP="008E7FAA">
      <w:pPr>
        <w:spacing w:line="276" w:lineRule="auto"/>
        <w:jc w:val="both"/>
        <w:rPr>
          <w:rFonts w:cs="Arial"/>
          <w:szCs w:val="20"/>
        </w:rPr>
      </w:pPr>
      <w:r w:rsidRPr="008E7FAA">
        <w:rPr>
          <w:rFonts w:cs="Arial"/>
          <w:szCs w:val="20"/>
        </w:rPr>
        <w:t xml:space="preserve">Tato </w:t>
      </w:r>
      <w:r w:rsidR="00DA2036" w:rsidRPr="008E7FAA">
        <w:rPr>
          <w:rFonts w:cs="Arial"/>
          <w:szCs w:val="20"/>
        </w:rPr>
        <w:t xml:space="preserve">souhrnná </w:t>
      </w:r>
      <w:r w:rsidRPr="008E7FAA">
        <w:rPr>
          <w:rFonts w:cs="Arial"/>
          <w:szCs w:val="20"/>
        </w:rPr>
        <w:t xml:space="preserve">analýza </w:t>
      </w:r>
      <w:r w:rsidR="00DA2036" w:rsidRPr="008E7FAA">
        <w:rPr>
          <w:rFonts w:cs="Arial"/>
          <w:szCs w:val="20"/>
        </w:rPr>
        <w:t xml:space="preserve">byla vytvořena pracovníky sekce demografie a sociálních statistik ČSÚ, </w:t>
      </w:r>
      <w:r w:rsidRPr="008E7FAA">
        <w:rPr>
          <w:rFonts w:cs="Arial"/>
          <w:szCs w:val="20"/>
        </w:rPr>
        <w:t>čerpá z více datových zdrojů, které jsou veřejnosti běžně dostupné. Zaměřuje se převážně na životní úroveň českých seniorů a seniorek. Tento pojem lze chápat velmi široce. Životní úroveň se dá posuzovat více pohledy, avšak logicky dominuje příjmová stránka. Z hlediska střední úrovně příjmů je Česko mírně nadprůměrné vůči východoevropským zemím, avšak značně podprůměrné vůči západním státům původní EU-18, což se ostatně promítá ve všech populačních skupinách.</w:t>
      </w:r>
    </w:p>
    <w:p w14:paraId="57044FAA" w14:textId="62B08138" w:rsidR="00715FD6" w:rsidRPr="008E7FAA" w:rsidRDefault="00715FD6" w:rsidP="008E7FAA">
      <w:pPr>
        <w:spacing w:line="276" w:lineRule="auto"/>
        <w:jc w:val="both"/>
        <w:rPr>
          <w:rFonts w:cs="Arial"/>
          <w:szCs w:val="20"/>
        </w:rPr>
      </w:pPr>
      <w:r w:rsidRPr="008E7FAA">
        <w:rPr>
          <w:rFonts w:cs="Arial"/>
          <w:szCs w:val="20"/>
        </w:rPr>
        <w:t xml:space="preserve">Toto vše se odráží ve skutečnosti, že nejvyšší výdaje senioři </w:t>
      </w:r>
      <w:r w:rsidR="009311F2" w:rsidRPr="008E7FAA">
        <w:rPr>
          <w:rFonts w:cs="Arial"/>
          <w:szCs w:val="20"/>
        </w:rPr>
        <w:t xml:space="preserve">v ČR </w:t>
      </w:r>
      <w:r w:rsidRPr="008E7FAA">
        <w:rPr>
          <w:rFonts w:cs="Arial"/>
          <w:szCs w:val="20"/>
        </w:rPr>
        <w:t xml:space="preserve">vynaloží na potraviny a bydlení. To omezuje možnosti jejich rozhodování v dalších věcech. (Výdajům seniorů v mezinárodním srovnání se podrobně věnovala </w:t>
      </w:r>
      <w:r w:rsidR="00DA2036" w:rsidRPr="008E7FAA">
        <w:rPr>
          <w:rFonts w:cs="Arial"/>
          <w:szCs w:val="20"/>
        </w:rPr>
        <w:t xml:space="preserve">předchozí </w:t>
      </w:r>
      <w:r w:rsidRPr="008E7FAA">
        <w:rPr>
          <w:rFonts w:cs="Arial"/>
          <w:szCs w:val="20"/>
        </w:rPr>
        <w:t xml:space="preserve">analýza ČSÚ </w:t>
      </w:r>
      <w:r w:rsidR="00DA2036" w:rsidRPr="008E7FAA">
        <w:rPr>
          <w:rFonts w:cs="Arial"/>
          <w:szCs w:val="20"/>
        </w:rPr>
        <w:t>v</w:t>
      </w:r>
      <w:r w:rsidRPr="008E7FAA">
        <w:rPr>
          <w:rFonts w:cs="Arial"/>
          <w:szCs w:val="20"/>
        </w:rPr>
        <w:t xml:space="preserve"> ro</w:t>
      </w:r>
      <w:r w:rsidR="00DA2036" w:rsidRPr="008E7FAA">
        <w:rPr>
          <w:rFonts w:cs="Arial"/>
          <w:szCs w:val="20"/>
        </w:rPr>
        <w:t>ce</w:t>
      </w:r>
      <w:r w:rsidRPr="008E7FAA">
        <w:rPr>
          <w:rFonts w:cs="Arial"/>
          <w:szCs w:val="20"/>
        </w:rPr>
        <w:t xml:space="preserve"> 2019.)</w:t>
      </w:r>
    </w:p>
    <w:p w14:paraId="5B711548" w14:textId="173D891B" w:rsidR="00715FD6" w:rsidRPr="008E7FAA" w:rsidRDefault="00715FD6" w:rsidP="008E7FAA">
      <w:pPr>
        <w:spacing w:line="276" w:lineRule="auto"/>
        <w:jc w:val="both"/>
        <w:rPr>
          <w:rFonts w:cs="Arial"/>
          <w:szCs w:val="20"/>
        </w:rPr>
      </w:pPr>
      <w:r w:rsidRPr="008E7FAA">
        <w:rPr>
          <w:rFonts w:cs="Arial"/>
          <w:szCs w:val="20"/>
        </w:rPr>
        <w:t>V příjmech seniorů obecně dominují starobní důchody. Zejména pro mladší seniory je významný příjem z pracovní činnosti (9 % zaměstnanců je aktuálně v seniorském věku 60+ let). Ostatní příjmy jsou spíše marginální. Také vzhledem ke způsobu plnění důchodového účtu – ČR má průběžný důchodový systém, kdy finanční prostředky na důchody jsou odvozeny z výdělků pracujících – má smysl zkoumat vývoj starobních důchodů spolu se mzdovým vývojem. Za poslední desetiletí úroveň starobních důchodů stoup</w:t>
      </w:r>
      <w:r w:rsidR="009311F2" w:rsidRPr="008E7FAA">
        <w:rPr>
          <w:rFonts w:cs="Arial"/>
          <w:szCs w:val="20"/>
        </w:rPr>
        <w:t>a</w:t>
      </w:r>
      <w:r w:rsidRPr="008E7FAA">
        <w:rPr>
          <w:rFonts w:cs="Arial"/>
          <w:szCs w:val="20"/>
        </w:rPr>
        <w:t>la pomaleji (35 %) než rostla průměrná mzda (43 %).</w:t>
      </w:r>
    </w:p>
    <w:p w14:paraId="1C4A53E9" w14:textId="77777777" w:rsidR="00715FD6" w:rsidRPr="008E7FAA" w:rsidRDefault="00715FD6" w:rsidP="008E7FAA">
      <w:pPr>
        <w:spacing w:line="276" w:lineRule="auto"/>
        <w:jc w:val="both"/>
        <w:rPr>
          <w:rFonts w:cs="Arial"/>
          <w:szCs w:val="20"/>
        </w:rPr>
      </w:pPr>
      <w:r w:rsidRPr="008E7FAA">
        <w:rPr>
          <w:rFonts w:cs="Arial"/>
          <w:szCs w:val="20"/>
        </w:rPr>
        <w:t>Zkoumaná seniorská populace je však vysoce diferencovaná, od nejvyšších mocenských pozic a značného blahobytu v jednom extrému až po marginalizaci, ohrožení chudobou, zdravotní strádání, sociální a materiální deprivaci. Je proto velmi zavádějící popisovat ji jednoduchými výroky. Ekonomickou situaci seniorů/</w:t>
      </w:r>
      <w:proofErr w:type="spellStart"/>
      <w:r w:rsidRPr="008E7FAA">
        <w:rPr>
          <w:rFonts w:cs="Arial"/>
          <w:szCs w:val="20"/>
        </w:rPr>
        <w:t>ek</w:t>
      </w:r>
      <w:proofErr w:type="spellEnd"/>
      <w:r w:rsidRPr="008E7FAA">
        <w:rPr>
          <w:rFonts w:cs="Arial"/>
          <w:szCs w:val="20"/>
        </w:rPr>
        <w:t xml:space="preserve"> nejvíce ovlivňuje:</w:t>
      </w:r>
    </w:p>
    <w:p w14:paraId="6A81C292" w14:textId="77777777" w:rsidR="00715FD6" w:rsidRPr="008E7FAA" w:rsidRDefault="00715FD6" w:rsidP="008E7FAA">
      <w:pPr>
        <w:pStyle w:val="Odstavecseseznamem"/>
        <w:numPr>
          <w:ilvl w:val="0"/>
          <w:numId w:val="18"/>
        </w:numPr>
        <w:spacing w:after="200" w:line="276" w:lineRule="auto"/>
        <w:jc w:val="both"/>
        <w:rPr>
          <w:rFonts w:cs="Arial"/>
          <w:szCs w:val="20"/>
        </w:rPr>
      </w:pPr>
      <w:r w:rsidRPr="008E7FAA">
        <w:rPr>
          <w:rFonts w:cs="Arial"/>
          <w:szCs w:val="20"/>
        </w:rPr>
        <w:t xml:space="preserve">současná i předchozí pracovní kariéra, </w:t>
      </w:r>
    </w:p>
    <w:p w14:paraId="0F124C55" w14:textId="7971DF5A" w:rsidR="00715FD6" w:rsidRPr="008E7FAA" w:rsidRDefault="00715FD6" w:rsidP="008E7FAA">
      <w:pPr>
        <w:pStyle w:val="Odstavecseseznamem"/>
        <w:numPr>
          <w:ilvl w:val="0"/>
          <w:numId w:val="18"/>
        </w:numPr>
        <w:spacing w:after="200" w:line="276" w:lineRule="auto"/>
        <w:jc w:val="both"/>
        <w:rPr>
          <w:rFonts w:cs="Arial"/>
          <w:szCs w:val="20"/>
        </w:rPr>
      </w:pPr>
      <w:r w:rsidRPr="008E7FAA">
        <w:rPr>
          <w:rFonts w:cs="Arial"/>
          <w:szCs w:val="20"/>
        </w:rPr>
        <w:t>způsob zajištění bydlení (ve vlastní nemovitosti versus nájemní bydlení: podle sčítán</w:t>
      </w:r>
      <w:r w:rsidR="00D92946" w:rsidRPr="008E7FAA">
        <w:rPr>
          <w:rFonts w:cs="Arial"/>
          <w:szCs w:val="20"/>
        </w:rPr>
        <w:t>í lidu, domů a </w:t>
      </w:r>
      <w:r w:rsidRPr="008E7FAA">
        <w:rPr>
          <w:rFonts w:cs="Arial"/>
          <w:szCs w:val="20"/>
        </w:rPr>
        <w:t xml:space="preserve">bytů 2011 </w:t>
      </w:r>
      <w:r w:rsidRPr="008E7FAA">
        <w:rPr>
          <w:rStyle w:val="odkaz-style-wrapper"/>
          <w:rFonts w:cs="Arial"/>
          <w:szCs w:val="20"/>
        </w:rPr>
        <w:t>bydlí domácnosti seniorů nejčastěji (60 %) ve vlastním domě nebo v bytě v osobním vlastnictví; pětina domácností starších osob bydlí v nájmu a nejčastěji to jsou senioři jednotlivci.)</w:t>
      </w:r>
    </w:p>
    <w:p w14:paraId="4C0724EE" w14:textId="1CCD60E6" w:rsidR="00715FD6" w:rsidRPr="008E7FAA" w:rsidRDefault="00715FD6" w:rsidP="008E7FAA">
      <w:pPr>
        <w:pStyle w:val="Odstavecseseznamem"/>
        <w:numPr>
          <w:ilvl w:val="0"/>
          <w:numId w:val="18"/>
        </w:numPr>
        <w:spacing w:after="200" w:line="276" w:lineRule="auto"/>
        <w:jc w:val="both"/>
        <w:rPr>
          <w:rFonts w:cs="Arial"/>
          <w:szCs w:val="20"/>
        </w:rPr>
      </w:pPr>
      <w:r w:rsidRPr="008E7FAA">
        <w:rPr>
          <w:rFonts w:cs="Arial"/>
          <w:szCs w:val="20"/>
        </w:rPr>
        <w:t>zda bydlí osaměle nebo s dalšími členy domácnosti, protože možnost sdílet příjmy i náklady může podstatně zvýšit životní úroveň. V tomto směru má smysl se věn</w:t>
      </w:r>
      <w:r w:rsidR="00D92946" w:rsidRPr="008E7FAA">
        <w:rPr>
          <w:rFonts w:cs="Arial"/>
          <w:szCs w:val="20"/>
        </w:rPr>
        <w:t>ovat demografickým ukazatelům a </w:t>
      </w:r>
      <w:r w:rsidRPr="008E7FAA">
        <w:rPr>
          <w:rFonts w:cs="Arial"/>
          <w:szCs w:val="20"/>
        </w:rPr>
        <w:t>fenoménu osamělosti. (Domácnosti jednotlivců jsou především domácnosti starších žen.</w:t>
      </w:r>
      <w:r w:rsidR="002F515C">
        <w:rPr>
          <w:rFonts w:cs="Arial"/>
          <w:iCs/>
          <w:color w:val="000000"/>
          <w:szCs w:val="20"/>
        </w:rPr>
        <w:t xml:space="preserve"> Od věku 76</w:t>
      </w:r>
      <w:r w:rsidRPr="008E7FAA">
        <w:rPr>
          <w:rFonts w:cs="Arial"/>
          <w:iCs/>
          <w:color w:val="000000"/>
          <w:szCs w:val="20"/>
        </w:rPr>
        <w:t xml:space="preserve"> let již u žen dominují ovdovělé</w:t>
      </w:r>
      <w:r w:rsidRPr="008E7FAA">
        <w:rPr>
          <w:rFonts w:cs="Arial"/>
          <w:szCs w:val="20"/>
        </w:rPr>
        <w:t>.)</w:t>
      </w:r>
    </w:p>
    <w:p w14:paraId="4920A650" w14:textId="77777777" w:rsidR="00715FD6" w:rsidRPr="008E7FAA" w:rsidRDefault="00715FD6" w:rsidP="008E7FAA">
      <w:pPr>
        <w:spacing w:line="276" w:lineRule="auto"/>
        <w:jc w:val="both"/>
        <w:rPr>
          <w:rFonts w:cs="Arial"/>
          <w:szCs w:val="20"/>
        </w:rPr>
      </w:pPr>
      <w:r w:rsidRPr="008E7FAA">
        <w:rPr>
          <w:rFonts w:cs="Arial"/>
          <w:szCs w:val="20"/>
        </w:rPr>
        <w:t>Pro příjmovou stránku je klíčovým zdrojem statistických údajů celoevropské šetření známé pod zkratkou EU-SILC. Pro výdajovou stránku je možné čerpat ze šetření Rodinné účty. Nejdůležitějším datovým zdrojem mimo oficiální statistiky je Česká správa sociálního zabezpečení (ČSSZ). Zajímavými externími zdroji mohou být také Mapa exekucí nebo sociologické průzkumy Akademie věd ČR.</w:t>
      </w:r>
    </w:p>
    <w:p w14:paraId="04991B77" w14:textId="77777777" w:rsidR="00715FD6" w:rsidRPr="008E7FAA" w:rsidRDefault="00715FD6" w:rsidP="008E7FAA">
      <w:pPr>
        <w:spacing w:line="276" w:lineRule="auto"/>
        <w:jc w:val="both"/>
        <w:rPr>
          <w:rFonts w:cs="Arial"/>
          <w:szCs w:val="20"/>
        </w:rPr>
      </w:pPr>
    </w:p>
    <w:p w14:paraId="00BF53E4" w14:textId="77777777" w:rsidR="00715FD6" w:rsidRPr="008E7FAA" w:rsidRDefault="00715FD6" w:rsidP="008E7FAA">
      <w:pPr>
        <w:spacing w:line="276" w:lineRule="auto"/>
        <w:jc w:val="both"/>
        <w:rPr>
          <w:rFonts w:cs="Arial"/>
          <w:szCs w:val="20"/>
        </w:rPr>
      </w:pPr>
    </w:p>
    <w:p w14:paraId="4701F305" w14:textId="6F08F295" w:rsidR="00715FD6" w:rsidRPr="008E7FAA" w:rsidRDefault="00715FD6" w:rsidP="008E7FAA">
      <w:pPr>
        <w:spacing w:line="276" w:lineRule="auto"/>
        <w:rPr>
          <w:rFonts w:cs="Arial"/>
          <w:b/>
          <w:szCs w:val="20"/>
        </w:rPr>
      </w:pPr>
      <w:r w:rsidRPr="008E7FAA">
        <w:rPr>
          <w:rFonts w:cs="Arial"/>
          <w:b/>
          <w:szCs w:val="20"/>
        </w:rPr>
        <w:br w:type="column"/>
      </w:r>
      <w:r w:rsidRPr="008E7FAA">
        <w:rPr>
          <w:rFonts w:cs="Arial"/>
          <w:b/>
          <w:szCs w:val="20"/>
        </w:rPr>
        <w:lastRenderedPageBreak/>
        <w:t xml:space="preserve">Demografické </w:t>
      </w:r>
      <w:r w:rsidR="001C7AF2" w:rsidRPr="008E7FAA">
        <w:rPr>
          <w:rFonts w:cs="Arial"/>
          <w:b/>
          <w:szCs w:val="20"/>
        </w:rPr>
        <w:t>souvislosti</w:t>
      </w:r>
    </w:p>
    <w:p w14:paraId="4E1FEDBC" w14:textId="77777777" w:rsidR="001C7AF2" w:rsidRPr="008E7FAA" w:rsidRDefault="001C7AF2" w:rsidP="00271D34">
      <w:pPr>
        <w:spacing w:line="276" w:lineRule="auto"/>
        <w:jc w:val="both"/>
        <w:rPr>
          <w:rFonts w:cs="Arial"/>
          <w:szCs w:val="20"/>
        </w:rPr>
      </w:pPr>
      <w:r w:rsidRPr="008E7FAA">
        <w:rPr>
          <w:rFonts w:cs="Arial"/>
          <w:szCs w:val="20"/>
        </w:rPr>
        <w:t>Česká společnost demograficky stárne. Znamená to, že v obyvatelstvu České republiky roste počet osob ve věku 65 a více let a zvyšuje se jejich váha v celé populaci. Mezi lety 2010 a 2019 vzrostl počet seniorů téměř o půl milionu z 1,64 na 2,13 milionu (k 31. prosinci 2019) a podle posledních dostupných údajů tvoří senioři již jednu pětinu obyvatelstva ČR. Počet seniorů roste ve všech dílčích věkových skupinách. Největší skupinu tradičně představují nejmladší senioři ve věku 65–69 let, kterých byla ke konci roku 2019 zhruba jedna třetina (679 tisíc), dalších téměř 30 % seniorů (603 tisíc) bylo ve věku 70–74 let. Zbylé dvě pětiny seniorů zastupovaly dvě poměrně podobně početné skupiny osob ve věku 75–79 let (409 tisíc) a osob ve věku 80 a více let (441 tisíc). Většina (85 %) z nejstarší věkové skupiny 80+ přitom pravidelně patří mezi osmdesátníky, tj. je jim mezi 80 a 89 lety. Devadesátníků bylo podle posledních údajů ČSÚ v obyvatelstvu 63 tisíc a věku 100 a více let se dožilo 713 obyvatel České republiky (z toho 515 bylo žen).</w:t>
      </w:r>
    </w:p>
    <w:p w14:paraId="39F012A0" w14:textId="38FCFB71" w:rsidR="001C7AF2" w:rsidRPr="000B7034" w:rsidRDefault="000B7034" w:rsidP="000B7034">
      <w:pPr>
        <w:spacing w:after="60" w:line="240" w:lineRule="auto"/>
        <w:jc w:val="center"/>
        <w:rPr>
          <w:b/>
          <w:noProof/>
        </w:rPr>
      </w:pPr>
      <w:r w:rsidRPr="000B7034">
        <w:rPr>
          <w:b/>
          <w:noProof/>
        </w:rPr>
        <w:t>Graf 1: Počet a podíl seniorů v obyvatelstvu ČR k 31. 12.</w:t>
      </w:r>
    </w:p>
    <w:p w14:paraId="1F7A82B0" w14:textId="49FCA14C" w:rsidR="000B7034" w:rsidRDefault="009F633C" w:rsidP="009573D8">
      <w:pPr>
        <w:spacing w:after="60" w:line="240" w:lineRule="auto"/>
        <w:jc w:val="center"/>
        <w:rPr>
          <w:rFonts w:cs="Arial"/>
          <w:szCs w:val="20"/>
        </w:rPr>
      </w:pPr>
      <w:r>
        <w:rPr>
          <w:rFonts w:cs="Arial"/>
          <w:noProof/>
          <w:szCs w:val="20"/>
        </w:rPr>
        <w:drawing>
          <wp:inline distT="0" distB="0" distL="0" distR="0" wp14:anchorId="6BD08024" wp14:editId="451C5D8C">
            <wp:extent cx="5133340" cy="334073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340" cy="3340735"/>
                    </a:xfrm>
                    <a:prstGeom prst="rect">
                      <a:avLst/>
                    </a:prstGeom>
                    <a:noFill/>
                  </pic:spPr>
                </pic:pic>
              </a:graphicData>
            </a:graphic>
          </wp:inline>
        </w:drawing>
      </w:r>
    </w:p>
    <w:p w14:paraId="5EDAF111" w14:textId="5100DB90" w:rsidR="005574E6" w:rsidRDefault="005574E6" w:rsidP="009573D8">
      <w:pPr>
        <w:spacing w:after="60" w:line="240" w:lineRule="auto"/>
        <w:ind w:left="907"/>
        <w:rPr>
          <w:rFonts w:cs="Arial"/>
          <w:i/>
          <w:sz w:val="18"/>
          <w:szCs w:val="18"/>
        </w:rPr>
      </w:pPr>
      <w:r w:rsidRPr="005574E6">
        <w:rPr>
          <w:rFonts w:cs="Arial"/>
          <w:i/>
          <w:sz w:val="18"/>
          <w:szCs w:val="18"/>
        </w:rPr>
        <w:t>Zdroj: ČSÚ</w:t>
      </w:r>
    </w:p>
    <w:p w14:paraId="4A0748FC" w14:textId="24E773EE" w:rsidR="001C7AF2" w:rsidRPr="008E7FAA" w:rsidRDefault="001C7AF2" w:rsidP="00191BCE">
      <w:pPr>
        <w:spacing w:before="360" w:line="276" w:lineRule="auto"/>
        <w:jc w:val="both"/>
        <w:rPr>
          <w:rFonts w:cs="Arial"/>
          <w:szCs w:val="20"/>
        </w:rPr>
      </w:pPr>
      <w:r w:rsidRPr="008E7FAA">
        <w:rPr>
          <w:rFonts w:cs="Arial"/>
          <w:szCs w:val="20"/>
        </w:rPr>
        <w:t>Na rostoucím počtu a podílu seniorů, který však začal již v druhé polovině 80. let 20. století, se ve druhém desetiletí 21. století podílel jednak přesun osob z početně silných generací narozených po 2. světové válce do věku nad 65 let, a jednak dlouhodobě prodlužující se střední délka života</w:t>
      </w:r>
      <w:r w:rsidR="00265859">
        <w:rPr>
          <w:rFonts w:cs="Arial"/>
          <w:szCs w:val="20"/>
        </w:rPr>
        <w:t>,</w:t>
      </w:r>
      <w:r w:rsidRPr="008E7FAA">
        <w:rPr>
          <w:rFonts w:cs="Arial"/>
          <w:szCs w:val="20"/>
        </w:rPr>
        <w:t xml:space="preserve"> neboli naděje dožití. Mezi roky 2010 a 2019 vzrostla naděje dožití při narození u mužů ze 74,4 na 76,3 let a u žen z 80,6 na 82,1 let. Vyššího věku se v průměru dožívají ženy, nicméně u mužů se naděje dožití při narození zvyšovala o něco výrazněji. Rostoucí trend má i střední délka života při dosažení věku 65 let. Ta se ve stejném období prodloužila u mužů o 1,0 roku na 16,3 roku, u žen o 1,2 roku na 19,9 roku. I ve starších věkových skupinách se střední délka života mužů a žen zvyšuje, přičemž s rostoucím věkem se její výše pro muže a ženy sbližuje. Při dosažení věku 85 let se výhled na délku dalšího života mezi pohlavími aktuálně liší již jen o méně než jeden rok. </w:t>
      </w:r>
    </w:p>
    <w:p w14:paraId="77547670" w14:textId="5DBA70EC" w:rsidR="008E7FAA" w:rsidRPr="008E7FAA" w:rsidRDefault="008E7FAA" w:rsidP="00144C70">
      <w:pPr>
        <w:spacing w:after="480" w:line="276" w:lineRule="auto"/>
        <w:jc w:val="both"/>
        <w:rPr>
          <w:rFonts w:cs="Arial"/>
          <w:szCs w:val="20"/>
        </w:rPr>
      </w:pPr>
      <w:r w:rsidRPr="008E7FAA">
        <w:rPr>
          <w:rFonts w:cs="Arial"/>
          <w:szCs w:val="20"/>
        </w:rPr>
        <w:t>Prodlužující se střední délka života však nemusí automaticky znamenat také stejnou měrou rostoucí délku života ve zdraví. Údaje pro Českou republiku ze šetření EU-SILC ukazují, že zatímco mezi roky 2010 a 2018 (poslední dostupné údaje) se zvýšila naděje dožití při narození v průměru za obě pohlaví o 1,7 roku, délka života ve zdraví u mužů stagnovala, u žen se dokonce zkrátila. Stagnace a</w:t>
      </w:r>
      <w:r w:rsidR="007A5390">
        <w:rPr>
          <w:rFonts w:cs="Arial"/>
          <w:szCs w:val="20"/>
        </w:rPr>
        <w:t>ž mírný pokles byl zaznamenán i </w:t>
      </w:r>
      <w:r w:rsidRPr="008E7FAA">
        <w:rPr>
          <w:rFonts w:cs="Arial"/>
          <w:szCs w:val="20"/>
        </w:rPr>
        <w:t>v případě zdravé délky života na prahu seniorského věku (ve věku 65 let). Řada seniorů, zejména ve vyšších věcích, je tak odkázána na péči blízkých či pečovatelských zařízení.</w:t>
      </w:r>
    </w:p>
    <w:p w14:paraId="1487C29E" w14:textId="77777777" w:rsidR="001C7AF2" w:rsidRPr="008E7FAA" w:rsidRDefault="001C7AF2" w:rsidP="00271D34">
      <w:pPr>
        <w:spacing w:line="276" w:lineRule="auto"/>
        <w:jc w:val="both"/>
        <w:rPr>
          <w:rFonts w:cs="Arial"/>
          <w:szCs w:val="20"/>
        </w:rPr>
      </w:pPr>
    </w:p>
    <w:p w14:paraId="2C508A6D" w14:textId="65383CCD" w:rsidR="00B64D66" w:rsidRPr="000B7034" w:rsidRDefault="00B64D66" w:rsidP="00B64D66">
      <w:pPr>
        <w:spacing w:after="60" w:line="240" w:lineRule="auto"/>
        <w:jc w:val="center"/>
        <w:rPr>
          <w:b/>
          <w:noProof/>
        </w:rPr>
      </w:pPr>
      <w:r w:rsidRPr="000B7034">
        <w:rPr>
          <w:b/>
          <w:noProof/>
        </w:rPr>
        <w:t xml:space="preserve">Graf </w:t>
      </w:r>
      <w:r>
        <w:rPr>
          <w:b/>
          <w:noProof/>
        </w:rPr>
        <w:t>2</w:t>
      </w:r>
      <w:r w:rsidRPr="000B7034">
        <w:rPr>
          <w:b/>
          <w:noProof/>
        </w:rPr>
        <w:t xml:space="preserve">: </w:t>
      </w:r>
      <w:r>
        <w:rPr>
          <w:b/>
          <w:noProof/>
        </w:rPr>
        <w:t>Naděje dožití podle pohlaví ve vybran</w:t>
      </w:r>
      <w:r w:rsidR="001805CC">
        <w:rPr>
          <w:b/>
          <w:noProof/>
        </w:rPr>
        <w:t>ém</w:t>
      </w:r>
      <w:r>
        <w:rPr>
          <w:b/>
          <w:noProof/>
        </w:rPr>
        <w:t xml:space="preserve"> </w:t>
      </w:r>
      <w:r w:rsidR="001805CC">
        <w:rPr>
          <w:b/>
          <w:noProof/>
        </w:rPr>
        <w:t>věku</w:t>
      </w:r>
    </w:p>
    <w:p w14:paraId="3741DD6C" w14:textId="75A1EC29" w:rsidR="001C7AF2" w:rsidRDefault="00011B3B" w:rsidP="009573D8">
      <w:pPr>
        <w:spacing w:after="0" w:line="276" w:lineRule="auto"/>
        <w:ind w:left="964"/>
        <w:rPr>
          <w:rFonts w:cs="Arial"/>
          <w:szCs w:val="20"/>
        </w:rPr>
      </w:pPr>
      <w:r>
        <w:rPr>
          <w:rFonts w:cs="Arial"/>
          <w:noProof/>
          <w:szCs w:val="20"/>
        </w:rPr>
        <w:drawing>
          <wp:inline distT="0" distB="0" distL="0" distR="0" wp14:anchorId="74D2BA7D" wp14:editId="47EB30BA">
            <wp:extent cx="5011420" cy="27432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1420" cy="2743200"/>
                    </a:xfrm>
                    <a:prstGeom prst="rect">
                      <a:avLst/>
                    </a:prstGeom>
                    <a:noFill/>
                  </pic:spPr>
                </pic:pic>
              </a:graphicData>
            </a:graphic>
          </wp:inline>
        </w:drawing>
      </w:r>
    </w:p>
    <w:p w14:paraId="1CA887A1" w14:textId="77777777" w:rsidR="005574E6" w:rsidRDefault="005574E6" w:rsidP="009573D8">
      <w:pPr>
        <w:spacing w:line="240" w:lineRule="auto"/>
        <w:ind w:left="1191"/>
        <w:rPr>
          <w:rFonts w:cs="Arial"/>
          <w:i/>
          <w:sz w:val="18"/>
          <w:szCs w:val="18"/>
        </w:rPr>
      </w:pPr>
      <w:r w:rsidRPr="005574E6">
        <w:rPr>
          <w:rFonts w:cs="Arial"/>
          <w:i/>
          <w:sz w:val="18"/>
          <w:szCs w:val="18"/>
        </w:rPr>
        <w:t>Zdroj: ČSÚ</w:t>
      </w:r>
    </w:p>
    <w:p w14:paraId="299AD708" w14:textId="21006C7F" w:rsidR="001C7AF2" w:rsidRPr="008E7FAA" w:rsidRDefault="001C7AF2" w:rsidP="008D787B">
      <w:pPr>
        <w:spacing w:after="360" w:line="276" w:lineRule="auto"/>
        <w:jc w:val="both"/>
        <w:rPr>
          <w:rFonts w:cs="Arial"/>
          <w:szCs w:val="20"/>
        </w:rPr>
      </w:pPr>
      <w:r w:rsidRPr="008E7FAA">
        <w:rPr>
          <w:rFonts w:cs="Arial"/>
          <w:szCs w:val="20"/>
        </w:rPr>
        <w:t>Tomu napovídá i složení domácností a seniorů v dílčích věkových skupinách podle rodinného stavu. U</w:t>
      </w:r>
      <w:r w:rsidR="007A5390">
        <w:rPr>
          <w:rFonts w:cs="Arial"/>
          <w:szCs w:val="20"/>
        </w:rPr>
        <w:t> </w:t>
      </w:r>
      <w:r w:rsidRPr="008E7FAA">
        <w:rPr>
          <w:rFonts w:cs="Arial"/>
          <w:szCs w:val="20"/>
        </w:rPr>
        <w:t>mladších seniorů, ve věkových skupinách 65–69 a 70–74 let, jde z převážné části o osoby žijící v manželství. Ti jsou nejpočetnější i mezi 75–79letými muži, u žen tohoto věku jsou ale již početnější ženy ovdovělé. S rostoucím věkem zastoupení ovdovělých dále roste u mužů i u žen, avšak u mužů tvoří nejsilnější skupinu až ve věkové skupině 90 a více let. Rozdílná struktura seniorů podle pohlaví a rodinného stavu je vidět i ve výsledcích výběrových šetření, kdy ve věku 65 a více let žijí v domácnostech jednotlivců především ženy, které představují 71 % osob ve věku 65 a více let v čele domácnosti jednotlivců.</w:t>
      </w:r>
    </w:p>
    <w:p w14:paraId="4FACBCE2" w14:textId="5D7335C5" w:rsidR="00E57E45" w:rsidRPr="000B7034" w:rsidRDefault="00E57E45" w:rsidP="00E57E45">
      <w:pPr>
        <w:spacing w:after="60" w:line="240" w:lineRule="auto"/>
        <w:jc w:val="center"/>
        <w:rPr>
          <w:b/>
          <w:noProof/>
        </w:rPr>
      </w:pPr>
      <w:r w:rsidRPr="000B7034">
        <w:rPr>
          <w:b/>
          <w:noProof/>
        </w:rPr>
        <w:t xml:space="preserve">Graf </w:t>
      </w:r>
      <w:r>
        <w:rPr>
          <w:b/>
          <w:noProof/>
        </w:rPr>
        <w:t>3</w:t>
      </w:r>
      <w:r w:rsidRPr="000B7034">
        <w:rPr>
          <w:b/>
          <w:noProof/>
        </w:rPr>
        <w:t xml:space="preserve">: </w:t>
      </w:r>
      <w:r>
        <w:rPr>
          <w:b/>
          <w:noProof/>
        </w:rPr>
        <w:t>Senioři podle pohlaví, věku a rodinného stavu k 31. 12. 2019</w:t>
      </w:r>
    </w:p>
    <w:p w14:paraId="343828F2" w14:textId="34F0D457" w:rsidR="001C7AF2" w:rsidRPr="008E7FAA" w:rsidRDefault="009D748D" w:rsidP="009573D8">
      <w:pPr>
        <w:spacing w:after="0" w:line="276" w:lineRule="auto"/>
        <w:jc w:val="center"/>
        <w:rPr>
          <w:rFonts w:cs="Arial"/>
          <w:szCs w:val="20"/>
        </w:rPr>
      </w:pPr>
      <w:r>
        <w:rPr>
          <w:rFonts w:cs="Arial"/>
          <w:noProof/>
          <w:szCs w:val="20"/>
        </w:rPr>
        <w:drawing>
          <wp:inline distT="0" distB="0" distL="0" distR="0" wp14:anchorId="36E1662B" wp14:editId="6CBD5CF3">
            <wp:extent cx="5431790" cy="37242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790" cy="3724275"/>
                    </a:xfrm>
                    <a:prstGeom prst="rect">
                      <a:avLst/>
                    </a:prstGeom>
                    <a:noFill/>
                  </pic:spPr>
                </pic:pic>
              </a:graphicData>
            </a:graphic>
          </wp:inline>
        </w:drawing>
      </w:r>
    </w:p>
    <w:p w14:paraId="6A7DBBA4" w14:textId="77777777" w:rsidR="009573D8" w:rsidRDefault="009573D8" w:rsidP="009573D8">
      <w:pPr>
        <w:spacing w:line="240" w:lineRule="auto"/>
        <w:ind w:left="907"/>
        <w:rPr>
          <w:rFonts w:cs="Arial"/>
          <w:i/>
          <w:sz w:val="18"/>
          <w:szCs w:val="18"/>
        </w:rPr>
      </w:pPr>
      <w:r w:rsidRPr="005574E6">
        <w:rPr>
          <w:rFonts w:cs="Arial"/>
          <w:i/>
          <w:sz w:val="18"/>
          <w:szCs w:val="18"/>
        </w:rPr>
        <w:t>Zdroj: ČSÚ</w:t>
      </w:r>
    </w:p>
    <w:p w14:paraId="2378062D" w14:textId="4F053254" w:rsidR="008E7FAA" w:rsidRPr="008E7FAA" w:rsidRDefault="001C7AF2" w:rsidP="00271D34">
      <w:pPr>
        <w:spacing w:line="276" w:lineRule="auto"/>
        <w:jc w:val="both"/>
        <w:rPr>
          <w:rFonts w:cs="Arial"/>
          <w:szCs w:val="20"/>
        </w:rPr>
      </w:pPr>
      <w:r w:rsidRPr="008E7FAA">
        <w:rPr>
          <w:rFonts w:cs="Arial"/>
          <w:szCs w:val="20"/>
        </w:rPr>
        <w:lastRenderedPageBreak/>
        <w:t>Rozdíly ve složení seniorů a seniorek podle věku a rodinného stavu jsou dané jejich nestejnou průměrnou délkou života, tj. jejich rozdílnou úrovní úmrtnosti, a odlišnou úrovní sňatečnosti a rozvodo</w:t>
      </w:r>
      <w:r w:rsidR="000A68BC">
        <w:rPr>
          <w:rFonts w:cs="Arial"/>
          <w:szCs w:val="20"/>
        </w:rPr>
        <w:t xml:space="preserve">vosti v průběhu celého života. </w:t>
      </w:r>
      <w:r w:rsidRPr="008E7FAA">
        <w:rPr>
          <w:rFonts w:cs="Arial"/>
          <w:szCs w:val="20"/>
        </w:rPr>
        <w:t>V seniorském věku vstupují do manželství častěji muži než ženy, zatímco v mladém produktivním věku (přibližně do 35 let věku) je to obráceně. Míry sňatečnosti mužů (počet sňatků na tisíc obyvatel svobodných/rozvedených/ovdovělých v daném věku) jsou vyšší než míry sňatečnosti žen jak u</w:t>
      </w:r>
      <w:r w:rsidR="007A5390">
        <w:rPr>
          <w:rFonts w:cs="Arial"/>
          <w:szCs w:val="20"/>
        </w:rPr>
        <w:t> </w:t>
      </w:r>
      <w:r w:rsidRPr="008E7FAA">
        <w:rPr>
          <w:rFonts w:cs="Arial"/>
          <w:szCs w:val="20"/>
        </w:rPr>
        <w:t>mladších, tak u starších seniorů a s rostoucím věkem míra sň</w:t>
      </w:r>
      <w:r w:rsidR="008E7FAA" w:rsidRPr="008E7FAA">
        <w:rPr>
          <w:rFonts w:cs="Arial"/>
          <w:szCs w:val="20"/>
        </w:rPr>
        <w:t>atečnosti u obou pohlaví klesá.</w:t>
      </w:r>
    </w:p>
    <w:p w14:paraId="06B60517" w14:textId="71EE9C54" w:rsidR="008E7FAA" w:rsidRPr="008E7FAA" w:rsidRDefault="001C7AF2" w:rsidP="00271D34">
      <w:pPr>
        <w:spacing w:line="276" w:lineRule="auto"/>
        <w:jc w:val="both"/>
        <w:rPr>
          <w:rFonts w:cs="Arial"/>
          <w:szCs w:val="20"/>
        </w:rPr>
      </w:pPr>
      <w:r w:rsidRPr="008E7FAA">
        <w:rPr>
          <w:rFonts w:cs="Arial"/>
          <w:szCs w:val="20"/>
        </w:rPr>
        <w:t xml:space="preserve">Dále platí, že sňatečnost seniorů (podobně jako mladších osob) v posledních pěti letech obecně mírně rostla. V rámci seniorské kategorie obyvatel relativně nejvíce sňatků každoročně uzavírali muži ve věku 65–74 let, když v roce 2019 jich stálo před oltářem 7 z 1 000 svobodných, rozvedených či ovdovělých mužů (nevěstami se staly 2 z 1 000 žen, jejichž rodinný stav </w:t>
      </w:r>
      <w:r w:rsidR="008E7FAA" w:rsidRPr="008E7FAA">
        <w:rPr>
          <w:rFonts w:cs="Arial"/>
          <w:szCs w:val="20"/>
        </w:rPr>
        <w:t>umožňoval vstup do manželství).</w:t>
      </w:r>
    </w:p>
    <w:p w14:paraId="122B6318" w14:textId="144669F8" w:rsidR="001C7AF2" w:rsidRPr="008E7FAA" w:rsidRDefault="001C7AF2" w:rsidP="00271D34">
      <w:pPr>
        <w:spacing w:line="276" w:lineRule="auto"/>
        <w:jc w:val="both"/>
        <w:rPr>
          <w:rFonts w:cs="Arial"/>
          <w:szCs w:val="20"/>
        </w:rPr>
      </w:pPr>
      <w:r w:rsidRPr="008E7FAA">
        <w:rPr>
          <w:rFonts w:cs="Arial"/>
          <w:szCs w:val="20"/>
        </w:rPr>
        <w:t>Frekvence rozpadu manželství rozvodem je u seniorů ve srovnání s ostatními věkovými skupinami nízká, a to i u mladších seniorů, kde je rozvodovost nejvyšší. Ta však nepřesahuje 2 ‰ a je 10x nižší než ve věkové kategorii s nejvyšší mírou rozvo</w:t>
      </w:r>
      <w:r w:rsidR="00A5101C">
        <w:rPr>
          <w:rFonts w:cs="Arial"/>
          <w:szCs w:val="20"/>
        </w:rPr>
        <w:t>dovosti manželství (aktuálně 40–</w:t>
      </w:r>
      <w:r w:rsidRPr="008E7FAA">
        <w:rPr>
          <w:rFonts w:cs="Arial"/>
          <w:szCs w:val="20"/>
        </w:rPr>
        <w:t xml:space="preserve">44 let). Nejčastějším důvodem změny rodinného stavu je tak u seniorů jednoznačně ovdovění. </w:t>
      </w:r>
    </w:p>
    <w:p w14:paraId="25853D94" w14:textId="33494646" w:rsidR="001C7AF2" w:rsidRDefault="001C7AF2" w:rsidP="00144C70">
      <w:pPr>
        <w:spacing w:after="360" w:line="276" w:lineRule="auto"/>
        <w:jc w:val="both"/>
        <w:rPr>
          <w:rFonts w:cs="Arial"/>
          <w:szCs w:val="20"/>
        </w:rPr>
      </w:pPr>
      <w:r w:rsidRPr="008E7FAA">
        <w:rPr>
          <w:rFonts w:cs="Arial"/>
          <w:szCs w:val="20"/>
        </w:rPr>
        <w:t>Určitou diferenci mezi muži a ženami vážící se i na jejich rodinný stav lze najít i ve statistice seniorů vztahující se k samotnému závěru života – místa úmrtí. Po obecně nejčastějším místě jejic</w:t>
      </w:r>
      <w:r w:rsidR="00EF1840">
        <w:rPr>
          <w:rFonts w:cs="Arial"/>
          <w:szCs w:val="20"/>
        </w:rPr>
        <w:t>h skonu, kterým je zdravotnické</w:t>
      </w:r>
      <w:r w:rsidRPr="008E7FAA">
        <w:rPr>
          <w:rFonts w:cs="Arial"/>
          <w:szCs w:val="20"/>
        </w:rPr>
        <w:t xml:space="preserve"> zařízení lůžkové péče, je u nejstarších seniorek ve věku 85 a v</w:t>
      </w:r>
      <w:r w:rsidR="007A5390">
        <w:rPr>
          <w:rFonts w:cs="Arial"/>
          <w:szCs w:val="20"/>
        </w:rPr>
        <w:t>íce let na druhém místě úmrtí v </w:t>
      </w:r>
      <w:r w:rsidRPr="008E7FAA">
        <w:rPr>
          <w:rFonts w:cs="Arial"/>
          <w:szCs w:val="20"/>
        </w:rPr>
        <w:t>zař</w:t>
      </w:r>
      <w:r w:rsidR="001D12EA">
        <w:rPr>
          <w:rFonts w:cs="Arial"/>
          <w:szCs w:val="20"/>
        </w:rPr>
        <w:t xml:space="preserve">ízení sociálních služeb. U </w:t>
      </w:r>
      <w:proofErr w:type="gramStart"/>
      <w:r w:rsidR="001D12EA">
        <w:rPr>
          <w:rFonts w:cs="Arial"/>
          <w:szCs w:val="20"/>
        </w:rPr>
        <w:t>mužů</w:t>
      </w:r>
      <w:proofErr w:type="gramEnd"/>
      <w:r w:rsidR="001D12EA">
        <w:rPr>
          <w:rFonts w:cs="Arial"/>
          <w:szCs w:val="20"/>
        </w:rPr>
        <w:t>–</w:t>
      </w:r>
      <w:proofErr w:type="gramStart"/>
      <w:r w:rsidRPr="008E7FAA">
        <w:rPr>
          <w:rFonts w:cs="Arial"/>
          <w:szCs w:val="20"/>
        </w:rPr>
        <w:t>seniorů</w:t>
      </w:r>
      <w:proofErr w:type="gramEnd"/>
      <w:r w:rsidRPr="008E7FAA">
        <w:rPr>
          <w:rFonts w:cs="Arial"/>
          <w:szCs w:val="20"/>
        </w:rPr>
        <w:t xml:space="preserve"> zůstává i v tomto vysokém věku druhým nejčastějším místem smrti domov. Úmrtí v zařízeních sociálních služeb jsou obecně (i u mladších seniorů) častější u svobodných seniorů a seniorek, u nichž pravděpodobně ve větší míře chybí rodinní příslušníci, jenž by mohli pomoci s péči o ně.</w:t>
      </w:r>
    </w:p>
    <w:p w14:paraId="67F5EB43" w14:textId="6EE3BD81" w:rsidR="00562267" w:rsidRPr="000B7034" w:rsidRDefault="00562267" w:rsidP="00562267">
      <w:pPr>
        <w:spacing w:after="60" w:line="240" w:lineRule="auto"/>
        <w:jc w:val="center"/>
        <w:rPr>
          <w:b/>
          <w:noProof/>
        </w:rPr>
      </w:pPr>
      <w:r w:rsidRPr="000B7034">
        <w:rPr>
          <w:b/>
          <w:noProof/>
        </w:rPr>
        <w:t xml:space="preserve">Graf </w:t>
      </w:r>
      <w:r>
        <w:rPr>
          <w:b/>
          <w:noProof/>
        </w:rPr>
        <w:t>4</w:t>
      </w:r>
      <w:r w:rsidRPr="000B7034">
        <w:rPr>
          <w:b/>
          <w:noProof/>
        </w:rPr>
        <w:t xml:space="preserve">: </w:t>
      </w:r>
      <w:r>
        <w:rPr>
          <w:b/>
          <w:noProof/>
        </w:rPr>
        <w:t>Místo úmrtí podle pohlaví a věku v roce 2019</w:t>
      </w:r>
    </w:p>
    <w:p w14:paraId="33568826" w14:textId="0873FE9A" w:rsidR="00405193" w:rsidRPr="008E7FAA" w:rsidRDefault="009D748D" w:rsidP="00F637CE">
      <w:pPr>
        <w:spacing w:after="0" w:line="276" w:lineRule="auto"/>
        <w:jc w:val="center"/>
        <w:rPr>
          <w:rFonts w:cs="Arial"/>
          <w:szCs w:val="20"/>
        </w:rPr>
      </w:pPr>
      <w:r>
        <w:rPr>
          <w:rFonts w:cs="Arial"/>
          <w:noProof/>
          <w:szCs w:val="20"/>
        </w:rPr>
        <w:drawing>
          <wp:inline distT="0" distB="0" distL="0" distR="0" wp14:anchorId="616BE1E4" wp14:editId="5AFE2E03">
            <wp:extent cx="5505450" cy="2933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2933700"/>
                    </a:xfrm>
                    <a:prstGeom prst="rect">
                      <a:avLst/>
                    </a:prstGeom>
                    <a:noFill/>
                  </pic:spPr>
                </pic:pic>
              </a:graphicData>
            </a:graphic>
          </wp:inline>
        </w:drawing>
      </w:r>
    </w:p>
    <w:p w14:paraId="0398108A" w14:textId="156BEA23" w:rsidR="001C7AF2" w:rsidRPr="00F637CE" w:rsidRDefault="00F637CE" w:rsidP="00F637CE">
      <w:pPr>
        <w:spacing w:line="240" w:lineRule="auto"/>
        <w:ind w:left="624"/>
        <w:rPr>
          <w:rFonts w:cs="Arial"/>
          <w:i/>
          <w:sz w:val="18"/>
          <w:szCs w:val="18"/>
        </w:rPr>
      </w:pPr>
      <w:r w:rsidRPr="00F637CE">
        <w:rPr>
          <w:rFonts w:cs="Arial"/>
          <w:i/>
          <w:sz w:val="18"/>
          <w:szCs w:val="18"/>
        </w:rPr>
        <w:t>Zdroj: ČSÚ</w:t>
      </w:r>
    </w:p>
    <w:p w14:paraId="7BBF3354" w14:textId="77777777" w:rsidR="001C7AF2" w:rsidRPr="008E7FAA" w:rsidRDefault="001C7AF2" w:rsidP="00271D34">
      <w:pPr>
        <w:spacing w:line="276" w:lineRule="auto"/>
        <w:jc w:val="both"/>
        <w:rPr>
          <w:rFonts w:cs="Arial"/>
          <w:szCs w:val="20"/>
        </w:rPr>
      </w:pPr>
    </w:p>
    <w:p w14:paraId="7292B227" w14:textId="77777777" w:rsidR="008E7FAA" w:rsidRPr="008E7FAA" w:rsidRDefault="008E7FAA" w:rsidP="00271D34">
      <w:pPr>
        <w:spacing w:after="0" w:line="276" w:lineRule="auto"/>
        <w:rPr>
          <w:rFonts w:cs="Arial"/>
          <w:b/>
          <w:szCs w:val="20"/>
        </w:rPr>
      </w:pPr>
      <w:r w:rsidRPr="008E7FAA">
        <w:rPr>
          <w:rFonts w:cs="Arial"/>
          <w:b/>
          <w:szCs w:val="20"/>
        </w:rPr>
        <w:br w:type="page"/>
      </w:r>
    </w:p>
    <w:p w14:paraId="1FD9BD30" w14:textId="24A53FF0" w:rsidR="00715FD6" w:rsidRPr="008E7FAA" w:rsidRDefault="00715FD6" w:rsidP="00271D34">
      <w:pPr>
        <w:spacing w:line="276" w:lineRule="auto"/>
        <w:jc w:val="both"/>
        <w:rPr>
          <w:rFonts w:cs="Arial"/>
          <w:b/>
          <w:szCs w:val="20"/>
        </w:rPr>
      </w:pPr>
      <w:r w:rsidRPr="008E7FAA">
        <w:rPr>
          <w:rFonts w:cs="Arial"/>
          <w:b/>
          <w:szCs w:val="20"/>
        </w:rPr>
        <w:lastRenderedPageBreak/>
        <w:t>Závislosti a zdravý životní styl</w:t>
      </w:r>
    </w:p>
    <w:p w14:paraId="53DACBDF" w14:textId="77777777" w:rsidR="00046117" w:rsidRPr="008E7FAA" w:rsidRDefault="00046117" w:rsidP="00271D34">
      <w:pPr>
        <w:spacing w:line="276" w:lineRule="auto"/>
        <w:jc w:val="both"/>
        <w:rPr>
          <w:rFonts w:cs="Arial"/>
          <w:color w:val="000000"/>
          <w:szCs w:val="20"/>
        </w:rPr>
      </w:pPr>
      <w:r w:rsidRPr="008E7FAA">
        <w:rPr>
          <w:rFonts w:cs="Arial"/>
          <w:color w:val="000000"/>
          <w:szCs w:val="20"/>
        </w:rPr>
        <w:t>Poslední vlna Evropského výběrového šetření o zdraví EHIS proběhla v roce 2019. Předchozí šetření podle jednotné evropské metodiky bylo realizováno v roce 2014, což umožňuje srovnání vývoje v čase. Mimo oblastí zaměřujících se na subjektivní vnímání vlastního zdraví, výskyt vybraných nemocí, potíže při vykonávání běžných činností, využívání zdravotní péče a preventivních vyšetření byly zjišťovány okolnosti související se zdravým životním stylem (pravidelným pohybem, konzumací ovoce, zeleniny a alkoholu a s kouřením tabáku).</w:t>
      </w:r>
    </w:p>
    <w:p w14:paraId="2BD12F65" w14:textId="1BCE5531" w:rsidR="00715FD6" w:rsidRPr="008E7FAA" w:rsidRDefault="00046117" w:rsidP="008D787B">
      <w:pPr>
        <w:autoSpaceDE w:val="0"/>
        <w:autoSpaceDN w:val="0"/>
        <w:adjustRightInd w:val="0"/>
        <w:spacing w:after="360" w:line="276" w:lineRule="auto"/>
        <w:jc w:val="both"/>
        <w:rPr>
          <w:rFonts w:cs="Arial"/>
          <w:iCs/>
          <w:color w:val="000000"/>
          <w:szCs w:val="20"/>
        </w:rPr>
      </w:pPr>
      <w:r w:rsidRPr="008E7FAA">
        <w:rPr>
          <w:rFonts w:cs="Arial"/>
          <w:color w:val="000000"/>
          <w:szCs w:val="20"/>
        </w:rPr>
        <w:t xml:space="preserve">Podíl denních konzumentů alkoholu vyjadřuje podíl osob, které v posledních dvanácti měsících konzumovaly nápoj obsahující alkohol (pivo, víno, destiláty, likéry, míchané nápoje) každý den nebo skoro každý den. </w:t>
      </w:r>
      <w:r w:rsidRPr="008E7FAA">
        <w:rPr>
          <w:rFonts w:cs="Arial"/>
          <w:iCs/>
          <w:color w:val="000000"/>
          <w:szCs w:val="20"/>
        </w:rPr>
        <w:t>Obecně jsou denní konzumenti alkoholu více zastoupeni mezi muži než ženami, proto má smysl posuzovat je odděleně. Celkový podíl denních konzumentů alkoholu představoval v případě žen 2,9 %, zato u mužů tvořil 12,9 %. V porovnání s rokem 2014 došlo v případě mužů ke snížení o cca 3 procentní body, u žen žádná změna nenastala.</w:t>
      </w:r>
    </w:p>
    <w:p w14:paraId="09458C55" w14:textId="375C92E6" w:rsidR="00144C70" w:rsidRPr="000B7034" w:rsidRDefault="00144C70" w:rsidP="00144C70">
      <w:pPr>
        <w:spacing w:after="60" w:line="240" w:lineRule="auto"/>
        <w:jc w:val="center"/>
        <w:rPr>
          <w:b/>
          <w:noProof/>
        </w:rPr>
      </w:pPr>
      <w:r w:rsidRPr="000B7034">
        <w:rPr>
          <w:b/>
          <w:noProof/>
        </w:rPr>
        <w:t xml:space="preserve">Graf </w:t>
      </w:r>
      <w:r>
        <w:rPr>
          <w:b/>
          <w:noProof/>
        </w:rPr>
        <w:t xml:space="preserve">5: Podíl denních konzumentů alkoholu v jednotlivých </w:t>
      </w:r>
      <w:r w:rsidR="00E02A6F">
        <w:rPr>
          <w:b/>
          <w:noProof/>
        </w:rPr>
        <w:br/>
      </w:r>
      <w:r w:rsidR="005574E6">
        <w:rPr>
          <w:b/>
          <w:noProof/>
        </w:rPr>
        <w:t>věkových skupin</w:t>
      </w:r>
      <w:r w:rsidR="00EC6CBB">
        <w:rPr>
          <w:b/>
          <w:noProof/>
        </w:rPr>
        <w:t>ách</w:t>
      </w:r>
      <w:r>
        <w:rPr>
          <w:b/>
          <w:noProof/>
        </w:rPr>
        <w:t xml:space="preserve"> v roce 2019</w:t>
      </w:r>
    </w:p>
    <w:p w14:paraId="2AE313A6" w14:textId="2513EBB7" w:rsidR="0072150E" w:rsidRDefault="00011B3B" w:rsidP="00F637CE">
      <w:pPr>
        <w:spacing w:after="0" w:line="276" w:lineRule="auto"/>
        <w:jc w:val="center"/>
        <w:rPr>
          <w:rFonts w:cs="Arial"/>
          <w:szCs w:val="20"/>
        </w:rPr>
      </w:pPr>
      <w:r>
        <w:rPr>
          <w:rFonts w:cs="Arial"/>
          <w:noProof/>
          <w:szCs w:val="20"/>
        </w:rPr>
        <w:drawing>
          <wp:inline distT="0" distB="0" distL="0" distR="0" wp14:anchorId="3CF40606" wp14:editId="34C2A905">
            <wp:extent cx="5255260" cy="2859405"/>
            <wp:effectExtent l="0" t="0" r="254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5260" cy="2859405"/>
                    </a:xfrm>
                    <a:prstGeom prst="rect">
                      <a:avLst/>
                    </a:prstGeom>
                    <a:noFill/>
                  </pic:spPr>
                </pic:pic>
              </a:graphicData>
            </a:graphic>
          </wp:inline>
        </w:drawing>
      </w:r>
    </w:p>
    <w:p w14:paraId="2750BE1D" w14:textId="6EA09F77" w:rsidR="00F637CE" w:rsidRPr="00F637CE" w:rsidRDefault="00F637CE" w:rsidP="00F637CE">
      <w:pPr>
        <w:spacing w:line="240" w:lineRule="auto"/>
        <w:ind w:left="794"/>
        <w:rPr>
          <w:rFonts w:cs="Arial"/>
          <w:i/>
          <w:sz w:val="18"/>
          <w:szCs w:val="18"/>
        </w:rPr>
      </w:pPr>
      <w:r w:rsidRPr="00F637CE">
        <w:rPr>
          <w:rFonts w:cs="Arial"/>
          <w:i/>
          <w:sz w:val="18"/>
          <w:szCs w:val="18"/>
        </w:rPr>
        <w:t xml:space="preserve">Zdroj: </w:t>
      </w:r>
      <w:r>
        <w:rPr>
          <w:rFonts w:cs="Arial"/>
          <w:i/>
          <w:sz w:val="18"/>
          <w:szCs w:val="18"/>
        </w:rPr>
        <w:t>Evropské výběrové šetření o zdrav</w:t>
      </w:r>
      <w:r w:rsidR="00EC6CBB">
        <w:rPr>
          <w:rFonts w:cs="Arial"/>
          <w:i/>
          <w:sz w:val="18"/>
          <w:szCs w:val="18"/>
        </w:rPr>
        <w:t>í</w:t>
      </w:r>
      <w:r>
        <w:rPr>
          <w:rFonts w:cs="Arial"/>
          <w:i/>
          <w:sz w:val="18"/>
          <w:szCs w:val="18"/>
        </w:rPr>
        <w:t xml:space="preserve"> EHIS 2019, ÚZIS</w:t>
      </w:r>
    </w:p>
    <w:p w14:paraId="1C12F486" w14:textId="057981D7" w:rsidR="00046117" w:rsidRPr="008E7FAA" w:rsidRDefault="00046117" w:rsidP="00271D34">
      <w:pPr>
        <w:autoSpaceDE w:val="0"/>
        <w:autoSpaceDN w:val="0"/>
        <w:adjustRightInd w:val="0"/>
        <w:spacing w:line="276" w:lineRule="auto"/>
        <w:jc w:val="both"/>
        <w:rPr>
          <w:rFonts w:cs="Arial"/>
          <w:i/>
          <w:iCs/>
          <w:color w:val="000000"/>
          <w:szCs w:val="20"/>
        </w:rPr>
      </w:pPr>
      <w:r w:rsidRPr="008E7FAA">
        <w:rPr>
          <w:rFonts w:cs="Arial"/>
          <w:iCs/>
          <w:color w:val="000000"/>
          <w:szCs w:val="20"/>
        </w:rPr>
        <w:t>Stejně jako v roce 2019, tak i v roce 2014 konzumovali alkohol denně především muži starší 55 let: 26 % všech mužů ve věku 55</w:t>
      </w:r>
      <w:r w:rsidRPr="008E7FAA">
        <w:rPr>
          <w:rFonts w:cs="Arial"/>
          <w:szCs w:val="20"/>
        </w:rPr>
        <w:t>–</w:t>
      </w:r>
      <w:r w:rsidRPr="008E7FAA">
        <w:rPr>
          <w:rFonts w:cs="Arial"/>
          <w:iCs/>
          <w:color w:val="000000"/>
          <w:szCs w:val="20"/>
        </w:rPr>
        <w:t>64 let, 29 % mužů ve věku 65</w:t>
      </w:r>
      <w:r w:rsidRPr="008E7FAA">
        <w:rPr>
          <w:rFonts w:cs="Arial"/>
          <w:szCs w:val="20"/>
        </w:rPr>
        <w:t>–</w:t>
      </w:r>
      <w:r w:rsidRPr="008E7FAA">
        <w:rPr>
          <w:rFonts w:cs="Arial"/>
          <w:iCs/>
          <w:color w:val="000000"/>
          <w:szCs w:val="20"/>
        </w:rPr>
        <w:t>74 let a 22 % mužů ve věku 75 a více let. Nicméně v roce 2019 byl podíl mužů konzumujících denně alkohol v jednotlivých kategoriích nižší. Nejvyšší podíl denních konzumentek alkoholu mezi ženami byl v roce 2014 zaznamenán také u seniorek ve věkové kategorii 65</w:t>
      </w:r>
      <w:r w:rsidRPr="008E7FAA">
        <w:rPr>
          <w:rFonts w:cs="Arial"/>
          <w:szCs w:val="20"/>
        </w:rPr>
        <w:t>–</w:t>
      </w:r>
      <w:r w:rsidRPr="008E7FAA">
        <w:rPr>
          <w:rFonts w:cs="Arial"/>
          <w:iCs/>
          <w:color w:val="000000"/>
          <w:szCs w:val="20"/>
        </w:rPr>
        <w:t>74 let. Jednalo se o přibližně 6 % takto starých žen. V roce 2019 ale nejvyšší podíl denních konzumentek alkoholu připadal až na nejstarší věkovou kategorii žen, 75 a více let (6 % žen zde užívalo alkohol denně). Ve věku 65</w:t>
      </w:r>
      <w:r w:rsidRPr="008E7FAA">
        <w:rPr>
          <w:rFonts w:cs="Arial"/>
          <w:szCs w:val="20"/>
        </w:rPr>
        <w:t>–</w:t>
      </w:r>
      <w:r w:rsidRPr="008E7FAA">
        <w:rPr>
          <w:rFonts w:cs="Arial"/>
          <w:iCs/>
          <w:color w:val="000000"/>
          <w:szCs w:val="20"/>
        </w:rPr>
        <w:t>74 let se jednalo pouze o 4 % takto starých žen. Ve věku 75 a více let došlo u žen k navýšení podílu denních konzumentek alkoholu o 3,5 procentního bodu.</w:t>
      </w:r>
    </w:p>
    <w:p w14:paraId="1E3B88C8" w14:textId="3E450694" w:rsidR="00046117" w:rsidRPr="008E7FAA" w:rsidRDefault="00046117" w:rsidP="00271D34">
      <w:pPr>
        <w:autoSpaceDE w:val="0"/>
        <w:autoSpaceDN w:val="0"/>
        <w:adjustRightInd w:val="0"/>
        <w:spacing w:line="276" w:lineRule="auto"/>
        <w:jc w:val="both"/>
        <w:rPr>
          <w:rFonts w:cs="Arial"/>
          <w:iCs/>
          <w:color w:val="000000"/>
          <w:szCs w:val="20"/>
        </w:rPr>
      </w:pPr>
      <w:r w:rsidRPr="008E7FAA">
        <w:rPr>
          <w:rFonts w:cs="Arial"/>
          <w:iCs/>
          <w:color w:val="000000"/>
          <w:szCs w:val="20"/>
        </w:rPr>
        <w:t xml:space="preserve">Rovněž v případě nárazového pití alkoholu </w:t>
      </w:r>
      <w:r w:rsidRPr="008E7FAA">
        <w:rPr>
          <w:rFonts w:cs="Arial"/>
          <w:szCs w:val="20"/>
        </w:rPr>
        <w:t xml:space="preserve">(požití 60 g nebo více čistého alkoholu při jedné příležitosti alespoň jednou měsíčně v posledních dvanácti měsících) </w:t>
      </w:r>
      <w:r w:rsidRPr="008E7FAA">
        <w:rPr>
          <w:rFonts w:cs="Arial"/>
          <w:iCs/>
          <w:color w:val="000000"/>
          <w:szCs w:val="20"/>
        </w:rPr>
        <w:t xml:space="preserve">převládají celkově i v jednotlivých věkových kategoriích muži. Šlo o zhruba 30 procent všech mužů a 12 % žen. Od věku 25 do 54 let představují podíly nárazových konzumentů alkoholu u mužů přibližně 35 procent. U žen byl tento podíl výrazně nižší, 15 </w:t>
      </w:r>
      <w:r w:rsidR="00C37591">
        <w:rPr>
          <w:rFonts w:cs="Arial"/>
          <w:iCs/>
          <w:color w:val="000000"/>
          <w:szCs w:val="20"/>
        </w:rPr>
        <w:t>–</w:t>
      </w:r>
      <w:r w:rsidRPr="008E7FAA">
        <w:rPr>
          <w:rFonts w:cs="Arial"/>
          <w:iCs/>
          <w:color w:val="000000"/>
          <w:szCs w:val="20"/>
        </w:rPr>
        <w:t xml:space="preserve"> 17%.</w:t>
      </w:r>
      <w:r w:rsidR="00C37591">
        <w:rPr>
          <w:rFonts w:cs="Arial"/>
          <w:iCs/>
          <w:color w:val="000000"/>
          <w:szCs w:val="20"/>
        </w:rPr>
        <w:t xml:space="preserve"> </w:t>
      </w:r>
      <w:r w:rsidR="00CB03EB">
        <w:rPr>
          <w:rFonts w:cs="Arial"/>
          <w:iCs/>
          <w:color w:val="000000"/>
          <w:szCs w:val="20"/>
        </w:rPr>
        <w:t xml:space="preserve"> </w:t>
      </w:r>
      <w:r w:rsidRPr="008E7FAA">
        <w:rPr>
          <w:rFonts w:cs="Arial"/>
          <w:iCs/>
          <w:color w:val="000000"/>
          <w:szCs w:val="20"/>
        </w:rPr>
        <w:t>Ve věku 65</w:t>
      </w:r>
      <w:r w:rsidRPr="008E7FAA">
        <w:rPr>
          <w:rFonts w:cs="Arial"/>
          <w:szCs w:val="20"/>
        </w:rPr>
        <w:t>–</w:t>
      </w:r>
      <w:r w:rsidRPr="008E7FAA">
        <w:rPr>
          <w:rFonts w:cs="Arial"/>
          <w:iCs/>
          <w:color w:val="000000"/>
          <w:szCs w:val="20"/>
        </w:rPr>
        <w:t>74 let tvořil podíl nárazových konzumentů alkoholu u mužů 22 %, co je čtyřnásobně vyšší hodnota, než jaké dosahovaly stejně staré ženy. Obdobný trend potom vykazovala i kategorie 75 a více let, kde nárazovou konzumaci alkoholu přiznávalo 11 % mužů, ale jen 2 % žen.</w:t>
      </w:r>
    </w:p>
    <w:p w14:paraId="61D84137" w14:textId="77777777" w:rsidR="00715FD6" w:rsidRPr="008E7FAA" w:rsidRDefault="00715FD6" w:rsidP="00271D34">
      <w:pPr>
        <w:spacing w:line="276" w:lineRule="auto"/>
        <w:ind w:left="360"/>
        <w:jc w:val="center"/>
        <w:rPr>
          <w:rFonts w:cs="Arial"/>
          <w:szCs w:val="20"/>
        </w:rPr>
      </w:pPr>
      <w:r w:rsidRPr="008E7FAA">
        <w:rPr>
          <w:rFonts w:cs="Arial"/>
          <w:szCs w:val="20"/>
        </w:rPr>
        <w:t>* * *</w:t>
      </w:r>
    </w:p>
    <w:p w14:paraId="2C491A44" w14:textId="327FB8C2" w:rsidR="00046117" w:rsidRPr="008E7FAA" w:rsidRDefault="00046117" w:rsidP="00271D34">
      <w:pPr>
        <w:spacing w:line="276" w:lineRule="auto"/>
        <w:jc w:val="both"/>
        <w:rPr>
          <w:rFonts w:cs="Arial"/>
          <w:color w:val="000000"/>
          <w:szCs w:val="20"/>
        </w:rPr>
      </w:pPr>
      <w:r w:rsidRPr="008E7FAA">
        <w:rPr>
          <w:rFonts w:cs="Arial"/>
          <w:color w:val="000000"/>
          <w:szCs w:val="20"/>
        </w:rPr>
        <w:lastRenderedPageBreak/>
        <w:t xml:space="preserve">Další rozšířenou závislostí je </w:t>
      </w:r>
      <w:r w:rsidRPr="008E7FAA">
        <w:rPr>
          <w:rFonts w:cs="Arial"/>
          <w:b/>
          <w:color w:val="000000"/>
          <w:szCs w:val="20"/>
        </w:rPr>
        <w:t>kouření tabáku</w:t>
      </w:r>
      <w:r w:rsidRPr="008E7FAA">
        <w:rPr>
          <w:rFonts w:cs="Arial"/>
          <w:color w:val="000000"/>
          <w:szCs w:val="20"/>
        </w:rPr>
        <w:t>, které je však ve starších věkových skupinách méně rozšířené než ve středním věku.</w:t>
      </w:r>
    </w:p>
    <w:p w14:paraId="294949B0" w14:textId="0AEAF9F1" w:rsidR="008D787B" w:rsidRPr="000B7034" w:rsidRDefault="008D787B" w:rsidP="008D787B">
      <w:pPr>
        <w:spacing w:after="60" w:line="240" w:lineRule="auto"/>
        <w:jc w:val="center"/>
        <w:rPr>
          <w:b/>
          <w:noProof/>
        </w:rPr>
      </w:pPr>
      <w:r w:rsidRPr="000B7034">
        <w:rPr>
          <w:b/>
          <w:noProof/>
        </w:rPr>
        <w:t xml:space="preserve">Graf </w:t>
      </w:r>
      <w:r>
        <w:rPr>
          <w:b/>
          <w:noProof/>
        </w:rPr>
        <w:t>6</w:t>
      </w:r>
      <w:r w:rsidRPr="000B7034">
        <w:rPr>
          <w:b/>
          <w:noProof/>
        </w:rPr>
        <w:t xml:space="preserve">: </w:t>
      </w:r>
      <w:r>
        <w:rPr>
          <w:b/>
          <w:noProof/>
        </w:rPr>
        <w:t>Podíl současných denních kuřáků v </w:t>
      </w:r>
      <w:r w:rsidR="00B8480B">
        <w:rPr>
          <w:b/>
          <w:noProof/>
        </w:rPr>
        <w:t>jednotlivých</w:t>
      </w:r>
      <w:r w:rsidR="00B8480B">
        <w:rPr>
          <w:b/>
          <w:noProof/>
        </w:rPr>
        <w:br/>
      </w:r>
      <w:r w:rsidR="005574E6">
        <w:rPr>
          <w:b/>
          <w:noProof/>
        </w:rPr>
        <w:t>věkových skupin</w:t>
      </w:r>
      <w:r w:rsidR="00EC6CBB">
        <w:rPr>
          <w:b/>
          <w:noProof/>
        </w:rPr>
        <w:t>ách</w:t>
      </w:r>
      <w:r>
        <w:rPr>
          <w:b/>
          <w:noProof/>
        </w:rPr>
        <w:t xml:space="preserve"> v roce 2019</w:t>
      </w:r>
    </w:p>
    <w:p w14:paraId="33914CF9" w14:textId="70A792DC" w:rsidR="00715FD6" w:rsidRDefault="00011B3B" w:rsidP="00EC6CBB">
      <w:pPr>
        <w:spacing w:after="60" w:line="240" w:lineRule="auto"/>
        <w:jc w:val="center"/>
        <w:rPr>
          <w:rFonts w:cs="Arial"/>
          <w:szCs w:val="20"/>
        </w:rPr>
      </w:pPr>
      <w:r>
        <w:rPr>
          <w:rFonts w:cs="Arial"/>
          <w:noProof/>
          <w:szCs w:val="20"/>
        </w:rPr>
        <w:drawing>
          <wp:inline distT="0" distB="0" distL="0" distR="0" wp14:anchorId="4AD6748A" wp14:editId="45D512DD">
            <wp:extent cx="5084445" cy="2353310"/>
            <wp:effectExtent l="0" t="0" r="1905"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4445" cy="2353310"/>
                    </a:xfrm>
                    <a:prstGeom prst="rect">
                      <a:avLst/>
                    </a:prstGeom>
                    <a:noFill/>
                  </pic:spPr>
                </pic:pic>
              </a:graphicData>
            </a:graphic>
          </wp:inline>
        </w:drawing>
      </w:r>
    </w:p>
    <w:p w14:paraId="596D9506" w14:textId="77777777" w:rsidR="00EC6CBB" w:rsidRPr="00F637CE" w:rsidRDefault="00EC6CBB" w:rsidP="00EC6CBB">
      <w:pPr>
        <w:spacing w:before="120" w:line="240" w:lineRule="auto"/>
        <w:ind w:left="1191"/>
        <w:rPr>
          <w:rFonts w:cs="Arial"/>
          <w:i/>
          <w:sz w:val="18"/>
          <w:szCs w:val="18"/>
        </w:rPr>
      </w:pPr>
      <w:r w:rsidRPr="00F637CE">
        <w:rPr>
          <w:rFonts w:cs="Arial"/>
          <w:i/>
          <w:sz w:val="18"/>
          <w:szCs w:val="18"/>
        </w:rPr>
        <w:t xml:space="preserve">Zdroj: </w:t>
      </w:r>
      <w:r>
        <w:rPr>
          <w:rFonts w:cs="Arial"/>
          <w:i/>
          <w:sz w:val="18"/>
          <w:szCs w:val="18"/>
        </w:rPr>
        <w:t>Evropské výběrové šetření o zdraví EHIS 2019, ÚZIS</w:t>
      </w:r>
    </w:p>
    <w:p w14:paraId="4D4B286B" w14:textId="77777777" w:rsidR="00EC6CBB" w:rsidRPr="008E7FAA" w:rsidRDefault="00EC6CBB" w:rsidP="00EC6CBB">
      <w:pPr>
        <w:spacing w:before="120" w:after="120" w:line="240" w:lineRule="auto"/>
        <w:rPr>
          <w:rFonts w:cs="Arial"/>
          <w:szCs w:val="20"/>
        </w:rPr>
      </w:pPr>
    </w:p>
    <w:p w14:paraId="05EE4B51" w14:textId="35D4A710" w:rsidR="00B8480B" w:rsidRPr="000B7034" w:rsidRDefault="00B8480B" w:rsidP="00B8480B">
      <w:pPr>
        <w:spacing w:before="240" w:after="60" w:line="240" w:lineRule="auto"/>
        <w:jc w:val="center"/>
        <w:rPr>
          <w:b/>
          <w:noProof/>
        </w:rPr>
      </w:pPr>
      <w:r w:rsidRPr="000B7034">
        <w:rPr>
          <w:b/>
          <w:noProof/>
        </w:rPr>
        <w:t xml:space="preserve">Graf </w:t>
      </w:r>
      <w:r>
        <w:rPr>
          <w:b/>
          <w:noProof/>
        </w:rPr>
        <w:t>7</w:t>
      </w:r>
      <w:r w:rsidRPr="000B7034">
        <w:rPr>
          <w:b/>
          <w:noProof/>
        </w:rPr>
        <w:t xml:space="preserve">: </w:t>
      </w:r>
      <w:r>
        <w:rPr>
          <w:b/>
          <w:noProof/>
        </w:rPr>
        <w:t>Podíl bývalých denních kuřáků v je</w:t>
      </w:r>
      <w:r w:rsidR="005574E6">
        <w:rPr>
          <w:b/>
          <w:noProof/>
        </w:rPr>
        <w:t xml:space="preserve">dnotlivých </w:t>
      </w:r>
      <w:r w:rsidR="005574E6">
        <w:rPr>
          <w:b/>
          <w:noProof/>
        </w:rPr>
        <w:br/>
        <w:t>věkových skupin</w:t>
      </w:r>
      <w:r w:rsidR="00EC6CBB">
        <w:rPr>
          <w:b/>
          <w:noProof/>
        </w:rPr>
        <w:t>ách</w:t>
      </w:r>
      <w:r>
        <w:rPr>
          <w:b/>
          <w:noProof/>
        </w:rPr>
        <w:t xml:space="preserve"> v roce 2019</w:t>
      </w:r>
    </w:p>
    <w:p w14:paraId="6842B283" w14:textId="037161C7" w:rsidR="00715FD6" w:rsidRDefault="00011B3B" w:rsidP="00EC6CBB">
      <w:pPr>
        <w:spacing w:after="60" w:line="276" w:lineRule="auto"/>
        <w:jc w:val="center"/>
        <w:rPr>
          <w:rFonts w:cs="Arial"/>
          <w:szCs w:val="20"/>
        </w:rPr>
      </w:pPr>
      <w:r>
        <w:rPr>
          <w:rFonts w:cs="Arial"/>
          <w:noProof/>
          <w:szCs w:val="20"/>
        </w:rPr>
        <w:drawing>
          <wp:inline distT="0" distB="0" distL="0" distR="0" wp14:anchorId="4DDC4931" wp14:editId="602CCA1F">
            <wp:extent cx="5163820" cy="22860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3820" cy="2286000"/>
                    </a:xfrm>
                    <a:prstGeom prst="rect">
                      <a:avLst/>
                    </a:prstGeom>
                    <a:noFill/>
                  </pic:spPr>
                </pic:pic>
              </a:graphicData>
            </a:graphic>
          </wp:inline>
        </w:drawing>
      </w:r>
    </w:p>
    <w:p w14:paraId="144935C7" w14:textId="77777777" w:rsidR="00EC6CBB" w:rsidRPr="00F637CE" w:rsidRDefault="00EC6CBB" w:rsidP="00EC6CBB">
      <w:pPr>
        <w:spacing w:line="240" w:lineRule="auto"/>
        <w:ind w:left="1191"/>
        <w:rPr>
          <w:rFonts w:cs="Arial"/>
          <w:i/>
          <w:sz w:val="18"/>
          <w:szCs w:val="18"/>
        </w:rPr>
      </w:pPr>
      <w:r w:rsidRPr="00F637CE">
        <w:rPr>
          <w:rFonts w:cs="Arial"/>
          <w:i/>
          <w:sz w:val="18"/>
          <w:szCs w:val="18"/>
        </w:rPr>
        <w:t xml:space="preserve">Zdroj: </w:t>
      </w:r>
      <w:r>
        <w:rPr>
          <w:rFonts w:cs="Arial"/>
          <w:i/>
          <w:sz w:val="18"/>
          <w:szCs w:val="18"/>
        </w:rPr>
        <w:t>Evropské výběrové šetření o zdraví EHIS 2019, ÚZIS</w:t>
      </w:r>
    </w:p>
    <w:p w14:paraId="0CBFEEBE" w14:textId="56F78DBB" w:rsidR="008E7FAA" w:rsidRPr="008E7FAA" w:rsidRDefault="008E7FAA" w:rsidP="00271D34">
      <w:pPr>
        <w:autoSpaceDE w:val="0"/>
        <w:autoSpaceDN w:val="0"/>
        <w:adjustRightInd w:val="0"/>
        <w:spacing w:line="276" w:lineRule="auto"/>
        <w:jc w:val="both"/>
        <w:rPr>
          <w:rFonts w:cs="Arial"/>
          <w:iCs/>
          <w:color w:val="000000"/>
          <w:szCs w:val="20"/>
        </w:rPr>
      </w:pPr>
      <w:r w:rsidRPr="008E7FAA">
        <w:rPr>
          <w:rFonts w:cs="Arial"/>
          <w:iCs/>
          <w:color w:val="000000"/>
          <w:szCs w:val="20"/>
        </w:rPr>
        <w:t>Mezi muži je zastoupení kuřáků vyšší než mezi ženami, a to opět celkově i ve všech jednotlivých věkových kategoriích. Denně kouřilo zhruba 16 % všech žen a 24 % mužů. Oproti roku 2014 v případě žen nedošlo k žádné změně, muži ale zaznamenali pokles o 4 pro</w:t>
      </w:r>
      <w:r w:rsidR="00584574">
        <w:rPr>
          <w:rFonts w:cs="Arial"/>
          <w:iCs/>
          <w:color w:val="000000"/>
          <w:szCs w:val="20"/>
        </w:rPr>
        <w:t>centní body.</w:t>
      </w:r>
    </w:p>
    <w:p w14:paraId="3A36A1FA" w14:textId="6898B99A" w:rsidR="008E7FAA" w:rsidRPr="008E7FAA" w:rsidRDefault="008E7FAA" w:rsidP="00271D34">
      <w:pPr>
        <w:autoSpaceDE w:val="0"/>
        <w:autoSpaceDN w:val="0"/>
        <w:adjustRightInd w:val="0"/>
        <w:spacing w:line="276" w:lineRule="auto"/>
        <w:jc w:val="both"/>
        <w:rPr>
          <w:rFonts w:cs="Arial"/>
          <w:iCs/>
          <w:color w:val="000000"/>
          <w:szCs w:val="20"/>
        </w:rPr>
      </w:pPr>
      <w:r w:rsidRPr="008E7FAA">
        <w:rPr>
          <w:rFonts w:cs="Arial"/>
          <w:iCs/>
          <w:color w:val="000000"/>
          <w:szCs w:val="20"/>
        </w:rPr>
        <w:t>Ve věku 25</w:t>
      </w:r>
      <w:r w:rsidRPr="008E7FAA">
        <w:rPr>
          <w:rFonts w:cs="Arial"/>
          <w:szCs w:val="20"/>
        </w:rPr>
        <w:t>–</w:t>
      </w:r>
      <w:r w:rsidRPr="008E7FAA">
        <w:rPr>
          <w:rFonts w:cs="Arial"/>
          <w:iCs/>
          <w:color w:val="000000"/>
          <w:szCs w:val="20"/>
        </w:rPr>
        <w:t>34 let kouřilo denně 28 % mužů a 20 % žen v této věkové kategorii. Opět zde můžeme u mužů sledovat pokles oproti roku 2014, a to o osm procentních bodů. U stejně starých žen naopak došlo k nárůstu o tři procentní body. S rostoucím věkem se podíly denních kuřáků snižují a zároveň se sbližují rozdíly mezi ženami i muži. Ve věku 75 a více let kouřilo denně ještě 6 % mužů a 4 % žen. Ve věkové kategorii 65</w:t>
      </w:r>
      <w:r w:rsidRPr="008E7FAA">
        <w:rPr>
          <w:rFonts w:cs="Arial"/>
          <w:szCs w:val="20"/>
        </w:rPr>
        <w:t>–</w:t>
      </w:r>
      <w:r w:rsidRPr="008E7FAA">
        <w:rPr>
          <w:rFonts w:cs="Arial"/>
          <w:iCs/>
          <w:color w:val="000000"/>
          <w:szCs w:val="20"/>
        </w:rPr>
        <w:t>74 let denně kouřilo 18 % mužů a 15 % žen. Zde se ve srovnání s rokem 2014 o 5 pro</w:t>
      </w:r>
      <w:r w:rsidR="00C37591">
        <w:rPr>
          <w:rFonts w:cs="Arial"/>
          <w:iCs/>
          <w:color w:val="000000"/>
          <w:szCs w:val="20"/>
        </w:rPr>
        <w:t>centních bodů zvýšil podíl žen –</w:t>
      </w:r>
      <w:r w:rsidRPr="008E7FAA">
        <w:rPr>
          <w:rFonts w:cs="Arial"/>
          <w:iCs/>
          <w:color w:val="000000"/>
          <w:szCs w:val="20"/>
        </w:rPr>
        <w:t xml:space="preserve"> kuřaček, zatímco zastoupení mužů </w:t>
      </w:r>
      <w:r w:rsidR="001D12EA">
        <w:rPr>
          <w:rFonts w:cs="Arial"/>
          <w:iCs/>
          <w:color w:val="000000"/>
          <w:szCs w:val="20"/>
        </w:rPr>
        <w:t>–</w:t>
      </w:r>
      <w:r w:rsidRPr="008E7FAA">
        <w:rPr>
          <w:rFonts w:cs="Arial"/>
          <w:iCs/>
          <w:color w:val="000000"/>
          <w:szCs w:val="20"/>
        </w:rPr>
        <w:t xml:space="preserve"> kuřáků o 2,5 procentního bodu pokleslo.</w:t>
      </w:r>
    </w:p>
    <w:p w14:paraId="5CF0BB13" w14:textId="77777777" w:rsidR="008E7FAA" w:rsidRPr="008E7FAA" w:rsidRDefault="008E7FAA" w:rsidP="00271D34">
      <w:pPr>
        <w:autoSpaceDE w:val="0"/>
        <w:autoSpaceDN w:val="0"/>
        <w:adjustRightInd w:val="0"/>
        <w:spacing w:after="120" w:line="276" w:lineRule="auto"/>
        <w:jc w:val="both"/>
        <w:rPr>
          <w:rFonts w:cs="Arial"/>
          <w:iCs/>
          <w:color w:val="000000"/>
          <w:szCs w:val="20"/>
        </w:rPr>
      </w:pPr>
      <w:r w:rsidRPr="008E7FAA">
        <w:rPr>
          <w:rFonts w:cs="Arial"/>
          <w:iCs/>
          <w:color w:val="000000"/>
          <w:szCs w:val="20"/>
        </w:rPr>
        <w:t>Zřejmě i pod vlivem antikuřácké legislativy se podíly denních kuřáků v časovém srovnání snížily. Toto snížení se obecně týká zejména mužů, a to hlavně ve vyšším věku.</w:t>
      </w:r>
    </w:p>
    <w:p w14:paraId="327FAC90" w14:textId="3FE6408F" w:rsidR="00046117" w:rsidRPr="008E7FAA" w:rsidRDefault="00046117" w:rsidP="00271D34">
      <w:pPr>
        <w:spacing w:line="276" w:lineRule="auto"/>
        <w:jc w:val="both"/>
        <w:rPr>
          <w:rFonts w:cs="Arial"/>
          <w:szCs w:val="20"/>
        </w:rPr>
      </w:pPr>
      <w:r w:rsidRPr="008E7FAA">
        <w:rPr>
          <w:rFonts w:cs="Arial"/>
          <w:szCs w:val="20"/>
        </w:rPr>
        <w:lastRenderedPageBreak/>
        <w:t>Srovnáme-li celkové podíly současných a bývalých denních kuřáků, ani u jednoho pohlaví se příliš neliší. Výrazné změny zaznamenaly jak nejmladší, tak nejstarší věkové skupiny. Současní denní kuřáci měli ve věku 15–24 let v případě žen desetiprocentní, v případě mužů pak dvacetiprocentní zastoupení. Bývalí denní kuřáci se naopak v tomto věku vyznačovali velice nízkým zastoupením (a to čtyřprocentním, jak u takto starých žen, tak mužů). Jestli někde bývalí denní kuřáci dominovali, byli to muži ve věku od 65 let věku, kde jejich podíl převyšoval 40 % takto starých mužů. S tímto kontrastuje podíl současných denních kuřáků v tomto věku (pouze 18 % mužů ve věku 65–74 let).</w:t>
      </w:r>
    </w:p>
    <w:p w14:paraId="61C7456C" w14:textId="7A8D8C9C" w:rsidR="00715FD6" w:rsidRPr="008E7FAA" w:rsidRDefault="00046117" w:rsidP="00271D34">
      <w:pPr>
        <w:spacing w:line="276" w:lineRule="auto"/>
        <w:jc w:val="both"/>
        <w:rPr>
          <w:rFonts w:cs="Arial"/>
          <w:szCs w:val="20"/>
        </w:rPr>
      </w:pPr>
      <w:r w:rsidRPr="008E7FAA">
        <w:rPr>
          <w:rFonts w:cs="Arial"/>
          <w:szCs w:val="20"/>
        </w:rPr>
        <w:t>Podíl současných příležitostných kuřáků na celkové populaci je relativně nízký, a to okolo 6</w:t>
      </w:r>
      <w:r w:rsidR="00BB1C6B" w:rsidRPr="008E7FAA">
        <w:rPr>
          <w:rFonts w:cs="Arial"/>
          <w:szCs w:val="20"/>
        </w:rPr>
        <w:t> </w:t>
      </w:r>
      <w:r w:rsidRPr="008E7FAA">
        <w:rPr>
          <w:rFonts w:cs="Arial"/>
          <w:szCs w:val="20"/>
        </w:rPr>
        <w:t>% u obou pohlaví. Desetiprocentní hranici překročil</w:t>
      </w:r>
      <w:r w:rsidR="00BB1C6B" w:rsidRPr="008E7FAA">
        <w:rPr>
          <w:rFonts w:cs="Arial"/>
          <w:szCs w:val="20"/>
        </w:rPr>
        <w:t>i</w:t>
      </w:r>
      <w:r w:rsidRPr="008E7FAA">
        <w:rPr>
          <w:rFonts w:cs="Arial"/>
          <w:szCs w:val="20"/>
        </w:rPr>
        <w:t xml:space="preserve"> pouze v případě mužů ve věku 25–34 let (11 %).</w:t>
      </w:r>
    </w:p>
    <w:p w14:paraId="47E7D95A" w14:textId="4C76731A" w:rsidR="008874D7" w:rsidRPr="008E7FAA" w:rsidRDefault="008874D7" w:rsidP="00271D34">
      <w:pPr>
        <w:spacing w:line="276" w:lineRule="auto"/>
        <w:jc w:val="both"/>
        <w:rPr>
          <w:rFonts w:cs="Arial"/>
          <w:szCs w:val="20"/>
        </w:rPr>
      </w:pPr>
      <w:r w:rsidRPr="008E7FAA">
        <w:rPr>
          <w:rFonts w:cs="Arial"/>
          <w:szCs w:val="20"/>
        </w:rPr>
        <w:t xml:space="preserve">Jestliže u konzumace alkoholu a tabákových výrobků platilo, že muži oběma návykovým látkám holdovali častěji než ženy, v případě denní konzumace ovoce a zeleniny dominují ženy nad muži celkově i v jednotlivých věkových kategoriích. Životní styl žen je </w:t>
      </w:r>
      <w:r w:rsidR="00584574">
        <w:rPr>
          <w:rFonts w:cs="Arial"/>
          <w:szCs w:val="20"/>
        </w:rPr>
        <w:t>tedy zjevně zdravější než mužů.</w:t>
      </w:r>
    </w:p>
    <w:p w14:paraId="1F696F2C" w14:textId="0F831363" w:rsidR="008874D7" w:rsidRPr="008E7FAA" w:rsidRDefault="008874D7" w:rsidP="00271D34">
      <w:pPr>
        <w:spacing w:line="276" w:lineRule="auto"/>
        <w:jc w:val="both"/>
        <w:rPr>
          <w:rFonts w:cs="Arial"/>
          <w:szCs w:val="20"/>
        </w:rPr>
      </w:pPr>
      <w:r w:rsidRPr="008E7FAA">
        <w:rPr>
          <w:rFonts w:cs="Arial"/>
          <w:szCs w:val="20"/>
        </w:rPr>
        <w:t>Ovoce denně konzumovala nadpoloviční většina žen, a to jak celkově, tak v jednotlivých desetiletých věkových kategoriích až do 74 let včetně. Pouze ve věkové skupině 75 a více let to bylo už jen 46 % žen. U mužů podíl denních konzumentů ovoce nepřesáhl v žádné desetileté věkové kategorii 40 %. Celkově činil 36 %. Nejvyšší hodnoty dosáhl ve věku 75 a více let (40 %), nejnižší potom u mladých mužů ve věku 25–34 let (32</w:t>
      </w:r>
      <w:r w:rsidR="005E354E" w:rsidRPr="008E7FAA">
        <w:rPr>
          <w:rFonts w:cs="Arial"/>
          <w:szCs w:val="20"/>
        </w:rPr>
        <w:t xml:space="preserve"> %). </w:t>
      </w:r>
      <w:r w:rsidRPr="008E7FAA">
        <w:rPr>
          <w:rFonts w:cs="Arial"/>
          <w:szCs w:val="20"/>
        </w:rPr>
        <w:t>Zastoupení žen i mužů, kteří každý den jedli zeleninu</w:t>
      </w:r>
      <w:r w:rsidR="005E354E" w:rsidRPr="008E7FAA">
        <w:rPr>
          <w:rFonts w:cs="Arial"/>
          <w:szCs w:val="20"/>
        </w:rPr>
        <w:t>, bylo o něco nižší</w:t>
      </w:r>
      <w:r w:rsidRPr="008E7FAA">
        <w:rPr>
          <w:rFonts w:cs="Arial"/>
          <w:szCs w:val="20"/>
        </w:rPr>
        <w:t xml:space="preserve"> než v případě ovoce (49 % žen a 35 % mužů).</w:t>
      </w:r>
    </w:p>
    <w:p w14:paraId="22BBAABF" w14:textId="309D28FA" w:rsidR="00B8480B" w:rsidRPr="000B7034" w:rsidRDefault="00B8480B" w:rsidP="00B8480B">
      <w:pPr>
        <w:spacing w:before="240" w:after="60" w:line="240" w:lineRule="auto"/>
        <w:jc w:val="center"/>
        <w:rPr>
          <w:b/>
          <w:noProof/>
        </w:rPr>
      </w:pPr>
      <w:r w:rsidRPr="000B7034">
        <w:rPr>
          <w:b/>
          <w:noProof/>
        </w:rPr>
        <w:t xml:space="preserve">Graf </w:t>
      </w:r>
      <w:r>
        <w:rPr>
          <w:b/>
          <w:noProof/>
        </w:rPr>
        <w:t>8</w:t>
      </w:r>
      <w:r w:rsidRPr="000B7034">
        <w:rPr>
          <w:b/>
          <w:noProof/>
        </w:rPr>
        <w:t xml:space="preserve">: </w:t>
      </w:r>
      <w:r>
        <w:rPr>
          <w:b/>
          <w:noProof/>
        </w:rPr>
        <w:t>Podíl osob ko</w:t>
      </w:r>
      <w:r w:rsidR="00473DE7">
        <w:rPr>
          <w:b/>
          <w:noProof/>
        </w:rPr>
        <w:t>n</w:t>
      </w:r>
      <w:r>
        <w:rPr>
          <w:b/>
          <w:noProof/>
        </w:rPr>
        <w:t xml:space="preserve">zumujících ovoce a zeleninu denně </w:t>
      </w:r>
      <w:r>
        <w:rPr>
          <w:b/>
          <w:noProof/>
        </w:rPr>
        <w:br/>
        <w:t xml:space="preserve">podle věkových </w:t>
      </w:r>
      <w:r w:rsidR="005574E6">
        <w:rPr>
          <w:b/>
          <w:noProof/>
        </w:rPr>
        <w:t>skupin</w:t>
      </w:r>
      <w:r>
        <w:rPr>
          <w:b/>
          <w:noProof/>
        </w:rPr>
        <w:t xml:space="preserve"> v roce 2019</w:t>
      </w:r>
    </w:p>
    <w:p w14:paraId="4AC51D8B" w14:textId="120B35BE" w:rsidR="00FB51FE" w:rsidRDefault="00011B3B" w:rsidP="00EC6CBB">
      <w:pPr>
        <w:spacing w:after="60" w:line="240" w:lineRule="auto"/>
        <w:jc w:val="center"/>
        <w:rPr>
          <w:rFonts w:cs="Arial"/>
          <w:szCs w:val="20"/>
        </w:rPr>
      </w:pPr>
      <w:r>
        <w:rPr>
          <w:rFonts w:cs="Arial"/>
          <w:noProof/>
          <w:szCs w:val="20"/>
        </w:rPr>
        <w:drawing>
          <wp:inline distT="0" distB="0" distL="0" distR="0" wp14:anchorId="2DB408A4" wp14:editId="1DCEB697">
            <wp:extent cx="5657850" cy="258127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2581275"/>
                    </a:xfrm>
                    <a:prstGeom prst="rect">
                      <a:avLst/>
                    </a:prstGeom>
                    <a:noFill/>
                  </pic:spPr>
                </pic:pic>
              </a:graphicData>
            </a:graphic>
          </wp:inline>
        </w:drawing>
      </w:r>
    </w:p>
    <w:p w14:paraId="62A8D6F7" w14:textId="77777777" w:rsidR="00EC6CBB" w:rsidRPr="00F637CE" w:rsidRDefault="00EC6CBB" w:rsidP="00EC6CBB">
      <w:pPr>
        <w:spacing w:line="240" w:lineRule="auto"/>
        <w:ind w:left="680"/>
        <w:rPr>
          <w:rFonts w:cs="Arial"/>
          <w:i/>
          <w:sz w:val="18"/>
          <w:szCs w:val="18"/>
        </w:rPr>
      </w:pPr>
      <w:r w:rsidRPr="00F637CE">
        <w:rPr>
          <w:rFonts w:cs="Arial"/>
          <w:i/>
          <w:sz w:val="18"/>
          <w:szCs w:val="18"/>
        </w:rPr>
        <w:t xml:space="preserve">Zdroj: </w:t>
      </w:r>
      <w:r>
        <w:rPr>
          <w:rFonts w:cs="Arial"/>
          <w:i/>
          <w:sz w:val="18"/>
          <w:szCs w:val="18"/>
        </w:rPr>
        <w:t>Evropské výběrové šetření o zdraví EHIS 2019, ÚZIS</w:t>
      </w:r>
    </w:p>
    <w:p w14:paraId="7CFD7A5B" w14:textId="075CE2D2" w:rsidR="00046117" w:rsidRPr="008E7FAA" w:rsidRDefault="00046117" w:rsidP="00271D34">
      <w:pPr>
        <w:spacing w:line="276" w:lineRule="auto"/>
        <w:jc w:val="both"/>
        <w:rPr>
          <w:rFonts w:cs="Arial"/>
          <w:color w:val="000000"/>
          <w:szCs w:val="20"/>
        </w:rPr>
      </w:pPr>
      <w:r w:rsidRPr="008E7FAA">
        <w:rPr>
          <w:rFonts w:cs="Arial"/>
          <w:szCs w:val="20"/>
        </w:rPr>
        <w:t>Pro statistické porovnávání tělesné hmotnosti lidí s různou výškou je využíván zejména i</w:t>
      </w:r>
      <w:r w:rsidRPr="008E7FAA">
        <w:rPr>
          <w:rFonts w:cs="Arial"/>
          <w:color w:val="000000"/>
          <w:szCs w:val="20"/>
        </w:rPr>
        <w:t xml:space="preserve">ndex tělesné hmotnosti (Body </w:t>
      </w:r>
      <w:proofErr w:type="spellStart"/>
      <w:r w:rsidRPr="008E7FAA">
        <w:rPr>
          <w:rFonts w:cs="Arial"/>
          <w:color w:val="000000"/>
          <w:szCs w:val="20"/>
        </w:rPr>
        <w:t>Mass</w:t>
      </w:r>
      <w:proofErr w:type="spellEnd"/>
      <w:r w:rsidRPr="008E7FAA">
        <w:rPr>
          <w:rFonts w:cs="Arial"/>
          <w:color w:val="000000"/>
          <w:szCs w:val="20"/>
        </w:rPr>
        <w:t xml:space="preserve"> Index – BMI), který je počítán jako poměr hmotnosti </w:t>
      </w:r>
      <w:r w:rsidR="007A5390">
        <w:rPr>
          <w:rFonts w:cs="Arial"/>
          <w:color w:val="000000"/>
          <w:szCs w:val="20"/>
        </w:rPr>
        <w:t>(v kg) a druhé mocniny výšky (v </w:t>
      </w:r>
      <w:r w:rsidRPr="008E7FAA">
        <w:rPr>
          <w:rFonts w:cs="Arial"/>
          <w:color w:val="000000"/>
          <w:szCs w:val="20"/>
        </w:rPr>
        <w:t xml:space="preserve">metrech). Kategorie BMI (podváha, normální hmotnost, </w:t>
      </w:r>
      <w:proofErr w:type="spellStart"/>
      <w:r w:rsidRPr="008E7FAA">
        <w:rPr>
          <w:rFonts w:cs="Arial"/>
          <w:color w:val="000000"/>
          <w:szCs w:val="20"/>
        </w:rPr>
        <w:t>preobezita</w:t>
      </w:r>
      <w:proofErr w:type="spellEnd"/>
      <w:r w:rsidRPr="008E7FAA">
        <w:rPr>
          <w:rFonts w:cs="Arial"/>
          <w:color w:val="000000"/>
          <w:szCs w:val="20"/>
        </w:rPr>
        <w:t xml:space="preserve"> a obezita) jsou vymezeny dle doporučení WHO. Z</w:t>
      </w:r>
      <w:r w:rsidRPr="008E7FAA">
        <w:rPr>
          <w:rFonts w:cs="Arial"/>
          <w:iCs/>
          <w:color w:val="000000"/>
          <w:szCs w:val="20"/>
        </w:rPr>
        <w:t>ejména starší muži po čtyřicítce mají větší riziko nesprávné životosprávy. Více než ženy tíhnou k denní konzumaci alkoholu i tabákových výrobků a méně než ženy zařazují do svého každodenního jídelníčku ovoce a zeleninu. To samozřejmě přináší své následky.</w:t>
      </w:r>
    </w:p>
    <w:p w14:paraId="234BDDCF" w14:textId="20F8AEE3" w:rsidR="00046117" w:rsidRPr="008E7FAA" w:rsidRDefault="00046117" w:rsidP="00271D34">
      <w:pPr>
        <w:autoSpaceDE w:val="0"/>
        <w:autoSpaceDN w:val="0"/>
        <w:adjustRightInd w:val="0"/>
        <w:spacing w:line="276" w:lineRule="auto"/>
        <w:jc w:val="both"/>
        <w:rPr>
          <w:rFonts w:cs="Arial"/>
          <w:iCs/>
          <w:color w:val="000000"/>
          <w:szCs w:val="20"/>
        </w:rPr>
      </w:pPr>
      <w:r w:rsidRPr="008E7FAA">
        <w:rPr>
          <w:rFonts w:cs="Arial"/>
          <w:iCs/>
          <w:color w:val="000000"/>
          <w:szCs w:val="20"/>
        </w:rPr>
        <w:t xml:space="preserve">Mezi muži je vyšší zastoupení těch, jejichž BMI se nachází v pásmu </w:t>
      </w:r>
      <w:proofErr w:type="spellStart"/>
      <w:r w:rsidRPr="008E7FAA">
        <w:rPr>
          <w:rFonts w:cs="Arial"/>
          <w:iCs/>
          <w:color w:val="000000"/>
          <w:szCs w:val="20"/>
        </w:rPr>
        <w:t>preobezity</w:t>
      </w:r>
      <w:proofErr w:type="spellEnd"/>
      <w:r w:rsidRPr="008E7FAA">
        <w:rPr>
          <w:rFonts w:cs="Arial"/>
          <w:iCs/>
          <w:color w:val="000000"/>
          <w:szCs w:val="20"/>
        </w:rPr>
        <w:t xml:space="preserve"> (BMI = 25,0 až 29,9) než mezi ženami, a to celkově i v jednotlivých věkových skupinách.</w:t>
      </w:r>
      <w:r w:rsidRPr="008E7FAA">
        <w:rPr>
          <w:rFonts w:cs="Arial"/>
          <w:szCs w:val="20"/>
        </w:rPr>
        <w:t xml:space="preserve"> </w:t>
      </w:r>
      <w:r w:rsidRPr="008E7FAA">
        <w:rPr>
          <w:rFonts w:cs="Arial"/>
          <w:iCs/>
          <w:color w:val="000000"/>
          <w:szCs w:val="20"/>
        </w:rPr>
        <w:t xml:space="preserve">Nejvyšší podíl </w:t>
      </w:r>
      <w:proofErr w:type="spellStart"/>
      <w:r w:rsidRPr="008E7FAA">
        <w:rPr>
          <w:rFonts w:cs="Arial"/>
          <w:iCs/>
          <w:color w:val="000000"/>
          <w:szCs w:val="20"/>
        </w:rPr>
        <w:t>preobezity</w:t>
      </w:r>
      <w:proofErr w:type="spellEnd"/>
      <w:r w:rsidRPr="008E7FAA">
        <w:rPr>
          <w:rFonts w:cs="Arial"/>
          <w:iCs/>
          <w:color w:val="000000"/>
          <w:szCs w:val="20"/>
        </w:rPr>
        <w:t xml:space="preserve"> zaznamenali muži i ženy v seniorské věkové kategorii 65</w:t>
      </w:r>
      <w:r w:rsidRPr="008E7FAA">
        <w:rPr>
          <w:rFonts w:cs="Arial"/>
          <w:szCs w:val="20"/>
        </w:rPr>
        <w:t>–</w:t>
      </w:r>
      <w:r w:rsidRPr="008E7FAA">
        <w:rPr>
          <w:rFonts w:cs="Arial"/>
          <w:iCs/>
          <w:color w:val="000000"/>
          <w:szCs w:val="20"/>
        </w:rPr>
        <w:t xml:space="preserve">74 let. </w:t>
      </w:r>
      <w:proofErr w:type="spellStart"/>
      <w:r w:rsidRPr="008E7FAA">
        <w:rPr>
          <w:rFonts w:cs="Arial"/>
          <w:iCs/>
          <w:color w:val="000000"/>
          <w:szCs w:val="20"/>
        </w:rPr>
        <w:t>Preobezitou</w:t>
      </w:r>
      <w:proofErr w:type="spellEnd"/>
      <w:r w:rsidRPr="008E7FAA">
        <w:rPr>
          <w:rFonts w:cs="Arial"/>
          <w:iCs/>
          <w:color w:val="000000"/>
          <w:szCs w:val="20"/>
        </w:rPr>
        <w:t xml:space="preserve"> zde trpělo 44 % žen a 55 % mužů.</w:t>
      </w:r>
    </w:p>
    <w:p w14:paraId="5642AD54" w14:textId="308925A4" w:rsidR="00715FD6" w:rsidRPr="008E7FAA" w:rsidRDefault="00046117" w:rsidP="00271D34">
      <w:pPr>
        <w:autoSpaceDE w:val="0"/>
        <w:autoSpaceDN w:val="0"/>
        <w:adjustRightInd w:val="0"/>
        <w:spacing w:line="276" w:lineRule="auto"/>
        <w:jc w:val="both"/>
        <w:rPr>
          <w:rFonts w:cs="Arial"/>
          <w:szCs w:val="20"/>
        </w:rPr>
      </w:pPr>
      <w:r w:rsidRPr="008E7FAA">
        <w:rPr>
          <w:rFonts w:cs="Arial"/>
          <w:iCs/>
          <w:color w:val="000000"/>
          <w:szCs w:val="20"/>
        </w:rPr>
        <w:t>V případě obezity jsou rozdíly méně výrazné, nicméně i zde je v téměř všech věkových skupinách (s výjimkou nejstarší skupiny 75 a více let) vyšší podíl obézních mužů než žen.</w:t>
      </w:r>
    </w:p>
    <w:p w14:paraId="438BFCE4" w14:textId="77777777" w:rsidR="00715FD6" w:rsidRPr="008E7FAA" w:rsidRDefault="00715FD6" w:rsidP="00271D34">
      <w:pPr>
        <w:spacing w:line="276" w:lineRule="auto"/>
        <w:rPr>
          <w:rFonts w:cs="Arial"/>
          <w:szCs w:val="20"/>
        </w:rPr>
      </w:pPr>
      <w:r w:rsidRPr="008E7FAA">
        <w:rPr>
          <w:rFonts w:cs="Arial"/>
          <w:b/>
          <w:szCs w:val="20"/>
        </w:rPr>
        <w:lastRenderedPageBreak/>
        <w:t>Vzdělání a informační společnost</w:t>
      </w:r>
    </w:p>
    <w:p w14:paraId="6C7191F0" w14:textId="76062AE3" w:rsidR="00715FD6" w:rsidRPr="008E7FAA" w:rsidRDefault="00715FD6" w:rsidP="00271D34">
      <w:pPr>
        <w:spacing w:line="276" w:lineRule="auto"/>
        <w:jc w:val="both"/>
        <w:rPr>
          <w:rFonts w:cs="Arial"/>
          <w:szCs w:val="20"/>
        </w:rPr>
      </w:pPr>
      <w:r w:rsidRPr="008E7FAA">
        <w:rPr>
          <w:rFonts w:cs="Arial"/>
          <w:szCs w:val="20"/>
        </w:rPr>
        <w:t xml:space="preserve">Životní styl i životní úroveň </w:t>
      </w:r>
      <w:r w:rsidR="00A17FEE" w:rsidRPr="008E7FAA">
        <w:rPr>
          <w:rFonts w:cs="Arial"/>
          <w:szCs w:val="20"/>
        </w:rPr>
        <w:t>jsou</w:t>
      </w:r>
      <w:r w:rsidRPr="008E7FAA">
        <w:rPr>
          <w:rFonts w:cs="Arial"/>
          <w:szCs w:val="20"/>
        </w:rPr>
        <w:t xml:space="preserve"> </w:t>
      </w:r>
      <w:r w:rsidR="00A17FEE" w:rsidRPr="008E7FAA">
        <w:rPr>
          <w:rFonts w:cs="Arial"/>
          <w:szCs w:val="20"/>
        </w:rPr>
        <w:t xml:space="preserve">ve </w:t>
      </w:r>
      <w:r w:rsidRPr="008E7FAA">
        <w:rPr>
          <w:rFonts w:cs="Arial"/>
          <w:szCs w:val="20"/>
        </w:rPr>
        <w:t>vý</w:t>
      </w:r>
      <w:r w:rsidR="00A17FEE" w:rsidRPr="008E7FAA">
        <w:rPr>
          <w:rFonts w:cs="Arial"/>
          <w:szCs w:val="20"/>
        </w:rPr>
        <w:t>razné korelaci</w:t>
      </w:r>
      <w:r w:rsidRPr="008E7FAA">
        <w:rPr>
          <w:rFonts w:cs="Arial"/>
          <w:szCs w:val="20"/>
        </w:rPr>
        <w:t xml:space="preserve"> se stupněm dosaženého vzdělání. Vzdělanější lidé žijí obecně zdravěji, dopřávají si lepší péči o fyzickou schránku, k čemuž mají vyšší příjmy, a bývají proto zdravější.</w:t>
      </w:r>
    </w:p>
    <w:p w14:paraId="3EE3D842" w14:textId="4A0E30E0" w:rsidR="003F53DA" w:rsidRPr="008E7FAA" w:rsidRDefault="003F53DA" w:rsidP="00271D34">
      <w:pPr>
        <w:spacing w:line="276" w:lineRule="auto"/>
        <w:jc w:val="both"/>
        <w:rPr>
          <w:rFonts w:cs="Arial"/>
          <w:szCs w:val="20"/>
        </w:rPr>
      </w:pPr>
      <w:r w:rsidRPr="008E7FAA">
        <w:rPr>
          <w:rFonts w:cs="Arial"/>
          <w:szCs w:val="20"/>
        </w:rPr>
        <w:t>V jednotlivých ročnících české populace je vidět výrazný posun v nejvyšším dosaženém vzdělání. Podstatně výraznější je u žen než u mužů. V seniorské populaci u žen ještě dominuje vzdělání bez maturity, každá čtvrtá seniorka má pouze základní školu, a vysokoškolské vzdělání má sotva jedna z deseti. Naproti tomu u mladých žen je vysokoškolské vzdělání běžné, mají ho dvě z pěti žen ve věku 25</w:t>
      </w:r>
      <w:r w:rsidR="00E16FC8">
        <w:rPr>
          <w:rFonts w:cs="Arial"/>
          <w:szCs w:val="20"/>
        </w:rPr>
        <w:t>–</w:t>
      </w:r>
      <w:r w:rsidRPr="008E7FAA">
        <w:rPr>
          <w:rFonts w:cs="Arial"/>
          <w:szCs w:val="20"/>
        </w:rPr>
        <w:t>34 let. Ženy se středním vzděláním s maturitou jsou zastoupené ve všech generacích stejně.</w:t>
      </w:r>
    </w:p>
    <w:p w14:paraId="6C0F6A59" w14:textId="196C5C61" w:rsidR="00715FD6" w:rsidRPr="008E7FAA" w:rsidRDefault="003F53DA" w:rsidP="00271D34">
      <w:pPr>
        <w:spacing w:line="276" w:lineRule="auto"/>
        <w:jc w:val="both"/>
        <w:rPr>
          <w:rFonts w:cs="Arial"/>
          <w:szCs w:val="20"/>
        </w:rPr>
      </w:pPr>
      <w:r w:rsidRPr="008E7FAA">
        <w:rPr>
          <w:rFonts w:cs="Arial"/>
          <w:szCs w:val="20"/>
        </w:rPr>
        <w:t xml:space="preserve">U mužů je ve všech věkových kategoriích dominantní středoškolský stupeň bez maturity. U seniorů je patrný dvojnásobný podíl vysokoškoláků mužů oproti vysokoškolačkám ženám, který se směrem k mladším ročníkům </w:t>
      </w:r>
      <w:r w:rsidR="00E16FC8">
        <w:rPr>
          <w:rFonts w:cs="Arial"/>
          <w:szCs w:val="20"/>
        </w:rPr>
        <w:t>vytrácí a u věkové kategorie 25–</w:t>
      </w:r>
      <w:r w:rsidRPr="008E7FAA">
        <w:rPr>
          <w:rFonts w:cs="Arial"/>
          <w:szCs w:val="20"/>
        </w:rPr>
        <w:t>34 let již muži na ženy výrazně ztrácí.</w:t>
      </w:r>
    </w:p>
    <w:p w14:paraId="0971C4FD" w14:textId="19BD379F" w:rsidR="00473DE7" w:rsidRDefault="00473DE7" w:rsidP="00EC6CBB">
      <w:pPr>
        <w:spacing w:before="240" w:after="60" w:line="240" w:lineRule="auto"/>
        <w:jc w:val="center"/>
        <w:rPr>
          <w:noProof/>
          <w:sz w:val="16"/>
          <w:szCs w:val="16"/>
        </w:rPr>
      </w:pPr>
      <w:r w:rsidRPr="000B7034">
        <w:rPr>
          <w:b/>
          <w:noProof/>
        </w:rPr>
        <w:t xml:space="preserve">Graf </w:t>
      </w:r>
      <w:r>
        <w:rPr>
          <w:b/>
          <w:noProof/>
        </w:rPr>
        <w:t>9</w:t>
      </w:r>
      <w:r w:rsidRPr="000B7034">
        <w:rPr>
          <w:b/>
          <w:noProof/>
        </w:rPr>
        <w:t xml:space="preserve">: </w:t>
      </w:r>
      <w:r>
        <w:rPr>
          <w:b/>
          <w:noProof/>
        </w:rPr>
        <w:t>V</w:t>
      </w:r>
      <w:r w:rsidR="00C7401D">
        <w:rPr>
          <w:b/>
          <w:noProof/>
        </w:rPr>
        <w:t>zdělání celé populace podle věkových skupin</w:t>
      </w:r>
      <w:r>
        <w:rPr>
          <w:b/>
          <w:noProof/>
        </w:rPr>
        <w:t xml:space="preserve"> v roce 2019</w:t>
      </w:r>
      <w:r w:rsidR="00011B3B">
        <w:rPr>
          <w:b/>
          <w:noProof/>
        </w:rPr>
        <w:drawing>
          <wp:inline distT="0" distB="0" distL="0" distR="0" wp14:anchorId="539CB00B" wp14:editId="38180D5C">
            <wp:extent cx="4846955" cy="3286125"/>
            <wp:effectExtent l="0" t="0" r="0"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6955" cy="3286125"/>
                    </a:xfrm>
                    <a:prstGeom prst="rect">
                      <a:avLst/>
                    </a:prstGeom>
                    <a:noFill/>
                  </pic:spPr>
                </pic:pic>
              </a:graphicData>
            </a:graphic>
          </wp:inline>
        </w:drawing>
      </w:r>
    </w:p>
    <w:p w14:paraId="266FDA42" w14:textId="7C305C43" w:rsidR="00715FD6" w:rsidRPr="00C7401D" w:rsidRDefault="00C7401D" w:rsidP="00EC6CBB">
      <w:pPr>
        <w:spacing w:line="276" w:lineRule="auto"/>
        <w:ind w:left="1021"/>
        <w:rPr>
          <w:rFonts w:cs="Arial"/>
          <w:i/>
          <w:sz w:val="18"/>
          <w:szCs w:val="18"/>
        </w:rPr>
      </w:pPr>
      <w:r w:rsidRPr="00C7401D">
        <w:rPr>
          <w:i/>
          <w:noProof/>
          <w:sz w:val="18"/>
          <w:szCs w:val="18"/>
        </w:rPr>
        <w:t xml:space="preserve">Zdroj: </w:t>
      </w:r>
      <w:r>
        <w:rPr>
          <w:i/>
          <w:noProof/>
          <w:sz w:val="18"/>
          <w:szCs w:val="18"/>
        </w:rPr>
        <w:t>Výběrové šetření pracovních sil ČSÚ</w:t>
      </w:r>
    </w:p>
    <w:p w14:paraId="665BC47B" w14:textId="77777777" w:rsidR="003F53DA" w:rsidRPr="008E7FAA" w:rsidRDefault="003F53DA" w:rsidP="00271D34">
      <w:pPr>
        <w:spacing w:line="276" w:lineRule="auto"/>
        <w:jc w:val="both"/>
        <w:rPr>
          <w:rFonts w:cs="Arial"/>
          <w:szCs w:val="20"/>
        </w:rPr>
      </w:pPr>
      <w:r w:rsidRPr="008E7FAA">
        <w:rPr>
          <w:rFonts w:cs="Arial"/>
          <w:szCs w:val="20"/>
        </w:rPr>
        <w:t>Oproti roku 2010 celkově v České republice do roku 2019 přibylo 122 tisíc žen a 160 tisíc mužů ve věku 25 a více let. Z pohledu dosaženého vzdělání přibyli hlavně vysokoškoláci. Za uplynulých 10 let došlo ke zvýšení počtu vysokoškolsky vzdělaných pětadvacetiletých a starších žen o 310 tisíc, mužů o 180 tisíc; naopak klesaly počty osob s pouze středním vzděláním bez maturity.</w:t>
      </w:r>
    </w:p>
    <w:p w14:paraId="698D8A88" w14:textId="77777777" w:rsidR="003F53DA" w:rsidRPr="008E7FAA" w:rsidRDefault="003F53DA" w:rsidP="00271D34">
      <w:pPr>
        <w:spacing w:line="276" w:lineRule="auto"/>
        <w:ind w:left="360"/>
        <w:jc w:val="center"/>
        <w:rPr>
          <w:rFonts w:cs="Arial"/>
          <w:szCs w:val="20"/>
        </w:rPr>
      </w:pPr>
      <w:r w:rsidRPr="008E7FAA">
        <w:rPr>
          <w:rFonts w:cs="Arial"/>
          <w:szCs w:val="20"/>
        </w:rPr>
        <w:t>* * *</w:t>
      </w:r>
    </w:p>
    <w:p w14:paraId="76087A2A" w14:textId="77777777" w:rsidR="003F53DA" w:rsidRPr="008E7FAA" w:rsidRDefault="003F53DA" w:rsidP="00271D34">
      <w:pPr>
        <w:spacing w:line="276" w:lineRule="auto"/>
        <w:jc w:val="both"/>
        <w:rPr>
          <w:rFonts w:cs="Arial"/>
          <w:szCs w:val="20"/>
        </w:rPr>
      </w:pPr>
      <w:r w:rsidRPr="008E7FAA">
        <w:rPr>
          <w:rFonts w:cs="Arial"/>
          <w:szCs w:val="20"/>
        </w:rPr>
        <w:t>Se zvyšujícím se věkem se snižuje využívání informačních technologií, které jsou v dnešní společnosti stále více nezbytné pro přístup k důležitým informacím a tím i plnohodnotný život. Zejména starší senioři v tomto směru výrazně zaostávají za mladším i středním věkem – pouze každý pátý starší 75 let měl v roce 2020 přístup k internetu (u osob do 54 let byl podíl přes 96 %). U těchto seniorů byl zjištěn i výrazný rozdíl mezi pohlavími: přístup k internetu mělo 26 % mužů a jen 15 % žen.</w:t>
      </w:r>
    </w:p>
    <w:p w14:paraId="4E6F2F70" w14:textId="3E4399A4" w:rsidR="00715FD6" w:rsidRPr="008E7FAA" w:rsidRDefault="003F53DA" w:rsidP="00271D34">
      <w:pPr>
        <w:spacing w:line="276" w:lineRule="auto"/>
        <w:jc w:val="both"/>
        <w:rPr>
          <w:rFonts w:cs="Arial"/>
          <w:szCs w:val="20"/>
        </w:rPr>
      </w:pPr>
      <w:r w:rsidRPr="008E7FAA">
        <w:rPr>
          <w:rFonts w:cs="Arial"/>
          <w:szCs w:val="20"/>
        </w:rPr>
        <w:t>Ještě vyšší propast je u využívání internetu v mobilním telefonu. Ten má přes 95 % mladých lidí do 34 let, ale pouze 4 % žen starších 75 let a 7 % stejně starých mužů.</w:t>
      </w:r>
    </w:p>
    <w:p w14:paraId="1A7BB96D" w14:textId="6AF0B255" w:rsidR="00715FD6" w:rsidRPr="008E7FAA" w:rsidRDefault="00715FD6" w:rsidP="00271D34">
      <w:pPr>
        <w:spacing w:line="276" w:lineRule="auto"/>
        <w:jc w:val="both"/>
        <w:rPr>
          <w:rFonts w:cs="Arial"/>
          <w:szCs w:val="20"/>
        </w:rPr>
      </w:pPr>
      <w:r w:rsidRPr="008E7FAA">
        <w:rPr>
          <w:rFonts w:cs="Arial"/>
          <w:szCs w:val="20"/>
        </w:rPr>
        <w:lastRenderedPageBreak/>
        <w:t>Obdobné je to u používání sociálních sítí, které se v pandemické situaci COVID-19 mnohdy staly výlučnou náhradou společenských kontaktů a styků se vzdálenější rodinou. Ty pou</w:t>
      </w:r>
      <w:r w:rsidR="00C37591">
        <w:rPr>
          <w:rFonts w:cs="Arial"/>
          <w:szCs w:val="20"/>
        </w:rPr>
        <w:t>žívá přes 90 % mladých lidí (16–</w:t>
      </w:r>
      <w:r w:rsidRPr="008E7FAA">
        <w:rPr>
          <w:rFonts w:cs="Arial"/>
          <w:szCs w:val="20"/>
        </w:rPr>
        <w:t>34 let), 65 % osob ve věku 35</w:t>
      </w:r>
      <w:r w:rsidR="00C37591">
        <w:rPr>
          <w:rFonts w:cs="Arial"/>
          <w:szCs w:val="20"/>
        </w:rPr>
        <w:t>–</w:t>
      </w:r>
      <w:r w:rsidRPr="008E7FAA">
        <w:rPr>
          <w:rFonts w:cs="Arial"/>
          <w:szCs w:val="20"/>
        </w:rPr>
        <w:t>54 let, ovšem méně než čtvrtina (23 %) starších ve věku 55</w:t>
      </w:r>
      <w:r w:rsidR="00C37591">
        <w:rPr>
          <w:rFonts w:cs="Arial"/>
          <w:szCs w:val="20"/>
        </w:rPr>
        <w:t>–</w:t>
      </w:r>
      <w:r w:rsidRPr="008E7FAA">
        <w:rPr>
          <w:rFonts w:cs="Arial"/>
          <w:szCs w:val="20"/>
        </w:rPr>
        <w:t>74 let, a pouze 3 % seniorů ve věku 75 a více let. Poněkud nižší, přesto však značné rozdíly jsou u používání internetového bankovnictví.</w:t>
      </w:r>
    </w:p>
    <w:p w14:paraId="6F01412F" w14:textId="77777777" w:rsidR="00715FD6" w:rsidRPr="008E7FAA" w:rsidRDefault="00715FD6" w:rsidP="00271D34">
      <w:pPr>
        <w:spacing w:line="276" w:lineRule="auto"/>
        <w:rPr>
          <w:rFonts w:cs="Arial"/>
          <w:b/>
          <w:szCs w:val="20"/>
        </w:rPr>
      </w:pPr>
      <w:r w:rsidRPr="008E7FAA">
        <w:rPr>
          <w:rFonts w:cs="Arial"/>
          <w:b/>
          <w:szCs w:val="20"/>
        </w:rPr>
        <w:t>Mzdy a účast seniorů na trhu práce</w:t>
      </w:r>
    </w:p>
    <w:p w14:paraId="28BF7A9D" w14:textId="48156DAC" w:rsidR="00715FD6" w:rsidRPr="008E7FAA" w:rsidRDefault="00715FD6" w:rsidP="00271D34">
      <w:pPr>
        <w:spacing w:line="276" w:lineRule="auto"/>
        <w:jc w:val="both"/>
        <w:rPr>
          <w:rFonts w:cs="Arial"/>
          <w:szCs w:val="20"/>
        </w:rPr>
      </w:pPr>
      <w:r w:rsidRPr="008E7FAA">
        <w:rPr>
          <w:rFonts w:cs="Arial"/>
          <w:szCs w:val="20"/>
        </w:rPr>
        <w:t>Podle věkových kategorií rostou mzdy nejrychleji u nejmladších ročníků a v mladším středním věku se stabilizují. Po 45. roce života začínají výdělky postupně mírně klesat. Tento vývoj je odlišný u mužů a žen, protože muži většinou bez přerušení budují svou pracovní kariéru, zatímco ženy ji přerušují v důsledku rození a péče o děti, a muže pak obtížně dohání.</w:t>
      </w:r>
    </w:p>
    <w:p w14:paraId="6DCE0775" w14:textId="06E734B6" w:rsidR="00E16FC8" w:rsidRPr="000B7034" w:rsidRDefault="00E16FC8" w:rsidP="00E16FC8">
      <w:pPr>
        <w:spacing w:before="240" w:after="60" w:line="240" w:lineRule="auto"/>
        <w:jc w:val="center"/>
        <w:rPr>
          <w:b/>
          <w:noProof/>
        </w:rPr>
      </w:pPr>
      <w:r w:rsidRPr="000B7034">
        <w:rPr>
          <w:b/>
          <w:noProof/>
        </w:rPr>
        <w:t xml:space="preserve">Graf </w:t>
      </w:r>
      <w:r>
        <w:rPr>
          <w:b/>
          <w:noProof/>
        </w:rPr>
        <w:t>10</w:t>
      </w:r>
      <w:r w:rsidRPr="000B7034">
        <w:rPr>
          <w:b/>
          <w:noProof/>
        </w:rPr>
        <w:t xml:space="preserve">: </w:t>
      </w:r>
      <w:r>
        <w:rPr>
          <w:b/>
          <w:noProof/>
        </w:rPr>
        <w:t>Mediánové mzdy podle věkových skupin v roce 2019</w:t>
      </w:r>
    </w:p>
    <w:p w14:paraId="54CF9A39" w14:textId="72039A5E" w:rsidR="00715FD6" w:rsidRDefault="00011B3B" w:rsidP="00EC6CBB">
      <w:pPr>
        <w:spacing w:after="0" w:line="240" w:lineRule="auto"/>
        <w:jc w:val="center"/>
        <w:rPr>
          <w:rFonts w:cs="Arial"/>
          <w:szCs w:val="20"/>
        </w:rPr>
      </w:pPr>
      <w:r>
        <w:rPr>
          <w:rFonts w:cs="Arial"/>
          <w:noProof/>
          <w:szCs w:val="20"/>
        </w:rPr>
        <w:drawing>
          <wp:inline distT="0" distB="0" distL="0" distR="0" wp14:anchorId="09AF93BE" wp14:editId="3341B13A">
            <wp:extent cx="5584190" cy="3819525"/>
            <wp:effectExtent l="0" t="0" r="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4190" cy="3819525"/>
                    </a:xfrm>
                    <a:prstGeom prst="rect">
                      <a:avLst/>
                    </a:prstGeom>
                    <a:noFill/>
                  </pic:spPr>
                </pic:pic>
              </a:graphicData>
            </a:graphic>
          </wp:inline>
        </w:drawing>
      </w:r>
    </w:p>
    <w:p w14:paraId="26999CCA" w14:textId="5D062883" w:rsidR="00EC6CBB" w:rsidRPr="00C7401D" w:rsidRDefault="00EC6CBB" w:rsidP="001E46E3">
      <w:pPr>
        <w:spacing w:before="120" w:line="276" w:lineRule="auto"/>
        <w:ind w:left="737"/>
        <w:rPr>
          <w:rFonts w:cs="Arial"/>
          <w:i/>
          <w:sz w:val="18"/>
          <w:szCs w:val="18"/>
        </w:rPr>
      </w:pPr>
      <w:r w:rsidRPr="00C7401D">
        <w:rPr>
          <w:i/>
          <w:noProof/>
          <w:sz w:val="18"/>
          <w:szCs w:val="18"/>
        </w:rPr>
        <w:t xml:space="preserve">Zdroj: </w:t>
      </w:r>
      <w:r w:rsidR="00B83BC2">
        <w:rPr>
          <w:i/>
          <w:noProof/>
          <w:sz w:val="18"/>
          <w:szCs w:val="18"/>
        </w:rPr>
        <w:t>ČSÚ, Strukturální šetření mezd</w:t>
      </w:r>
    </w:p>
    <w:p w14:paraId="3FA5E704" w14:textId="77777777" w:rsidR="008E7FAA" w:rsidRPr="008E7FAA" w:rsidRDefault="008E7FAA" w:rsidP="00271D34">
      <w:pPr>
        <w:spacing w:line="276" w:lineRule="auto"/>
        <w:jc w:val="both"/>
        <w:rPr>
          <w:rFonts w:cs="Arial"/>
          <w:szCs w:val="20"/>
        </w:rPr>
      </w:pPr>
      <w:r w:rsidRPr="008E7FAA">
        <w:rPr>
          <w:rFonts w:cs="Arial"/>
          <w:szCs w:val="20"/>
        </w:rPr>
        <w:t xml:space="preserve">U mladší seniorské kategorie ve věku 60–64 let část lidí již opouští trh práce a stává se ekonomicky neaktivní. Přitom v zaměstnání zůstávají spíše lidé vysoce vzdělaní a kvalifikovaní, tedy s vyššími výdělky. Tento </w:t>
      </w:r>
      <w:proofErr w:type="spellStart"/>
      <w:r w:rsidRPr="008E7FAA">
        <w:rPr>
          <w:rFonts w:cs="Arial"/>
          <w:szCs w:val="20"/>
        </w:rPr>
        <w:t>neproporciální</w:t>
      </w:r>
      <w:proofErr w:type="spellEnd"/>
      <w:r w:rsidRPr="008E7FAA">
        <w:rPr>
          <w:rFonts w:cs="Arial"/>
          <w:szCs w:val="20"/>
        </w:rPr>
        <w:t xml:space="preserve"> odliv nízkopříjmových osob do důchodu má vliv na mzdové ukazatele stejně jako předchozí vliv rodičovské dovolené. Tento faktor se ještě prohlubuje u starších ročníků, jejichž zastoupení na trhu práce je již vskutku minimální.</w:t>
      </w:r>
    </w:p>
    <w:p w14:paraId="0B7D397B" w14:textId="3F95C956" w:rsidR="008E7FAA" w:rsidRPr="008E7FAA" w:rsidRDefault="008E7FAA" w:rsidP="00271D34">
      <w:pPr>
        <w:spacing w:line="276" w:lineRule="auto"/>
        <w:jc w:val="both"/>
        <w:rPr>
          <w:rFonts w:cs="Arial"/>
          <w:szCs w:val="20"/>
        </w:rPr>
      </w:pPr>
      <w:r w:rsidRPr="008E7FAA">
        <w:rPr>
          <w:rFonts w:cs="Arial"/>
          <w:szCs w:val="20"/>
        </w:rPr>
        <w:t xml:space="preserve">Proto je důležité sledovat pracovní příjmy oddělené u obou pohlaví a ve vzájemném poměru, což vyjadřuje ukazatel Gender </w:t>
      </w:r>
      <w:proofErr w:type="spellStart"/>
      <w:r w:rsidRPr="008E7FAA">
        <w:rPr>
          <w:rFonts w:cs="Arial"/>
          <w:szCs w:val="20"/>
        </w:rPr>
        <w:t>Pay</w:t>
      </w:r>
      <w:proofErr w:type="spellEnd"/>
      <w:r w:rsidRPr="008E7FAA">
        <w:rPr>
          <w:rFonts w:cs="Arial"/>
          <w:szCs w:val="20"/>
        </w:rPr>
        <w:t xml:space="preserve"> Gap (GPG </w:t>
      </w:r>
      <w:r w:rsidR="00C37591">
        <w:rPr>
          <w:rFonts w:cs="Arial"/>
          <w:szCs w:val="20"/>
        </w:rPr>
        <w:t>–</w:t>
      </w:r>
      <w:r w:rsidRPr="008E7FAA">
        <w:rPr>
          <w:rFonts w:cs="Arial"/>
          <w:szCs w:val="20"/>
        </w:rPr>
        <w:t xml:space="preserve"> v grafu </w:t>
      </w:r>
      <w:r w:rsidR="00271D34">
        <w:rPr>
          <w:rFonts w:cs="Arial"/>
          <w:szCs w:val="20"/>
        </w:rPr>
        <w:t xml:space="preserve">10 </w:t>
      </w:r>
      <w:r w:rsidRPr="008E7FAA">
        <w:rPr>
          <w:rFonts w:cs="Arial"/>
          <w:szCs w:val="20"/>
        </w:rPr>
        <w:t xml:space="preserve">jako tlustá čára). Ukazuje prudký nárůst nerovností ve středním věku a postupné přibližování mezd žen a mužů s postupným přibližováním seniorskému věku. </w:t>
      </w:r>
      <w:r w:rsidR="00C37591">
        <w:rPr>
          <w:rFonts w:cs="Arial"/>
          <w:szCs w:val="20"/>
        </w:rPr>
        <w:t xml:space="preserve">  </w:t>
      </w:r>
      <w:r w:rsidRPr="008E7FAA">
        <w:rPr>
          <w:rFonts w:cs="Arial"/>
          <w:szCs w:val="20"/>
        </w:rPr>
        <w:t>V kategorii 60</w:t>
      </w:r>
      <w:r w:rsidRPr="008E7FAA">
        <w:rPr>
          <w:rFonts w:cs="Arial"/>
          <w:iCs/>
          <w:color w:val="000000"/>
          <w:szCs w:val="20"/>
        </w:rPr>
        <w:t>–</w:t>
      </w:r>
      <w:r w:rsidRPr="008E7FAA">
        <w:rPr>
          <w:rFonts w:cs="Arial"/>
          <w:szCs w:val="20"/>
        </w:rPr>
        <w:t>64 let je GPG minimální právě proto, že zde pracují zejména lépe p</w:t>
      </w:r>
      <w:r w:rsidR="00271D34">
        <w:rPr>
          <w:rFonts w:cs="Arial"/>
          <w:szCs w:val="20"/>
        </w:rPr>
        <w:t>lacené ženy. Strmý nárůst GPG v </w:t>
      </w:r>
      <w:r w:rsidRPr="008E7FAA">
        <w:rPr>
          <w:rFonts w:cs="Arial"/>
          <w:szCs w:val="20"/>
        </w:rPr>
        <w:t>následující kategorii, tedy ve věku 65 a více let, je potom opět dán rozdílnou strukturou žen a mužů, kteří zůstávají v tomto věku ještě ekonomicky aktivní. Ženy častěji berou ze svého pohledu podřadnější a hůře placená zaměstnání, více se věnují vnoučatům a dříve se stávají ekonomicky neaktivní.</w:t>
      </w:r>
    </w:p>
    <w:p w14:paraId="3B5C5798" w14:textId="34E248FE" w:rsidR="00715FD6" w:rsidRPr="008E7FAA" w:rsidRDefault="00715FD6" w:rsidP="00271D34">
      <w:pPr>
        <w:autoSpaceDE w:val="0"/>
        <w:autoSpaceDN w:val="0"/>
        <w:adjustRightInd w:val="0"/>
        <w:spacing w:line="276" w:lineRule="auto"/>
        <w:jc w:val="both"/>
        <w:rPr>
          <w:rFonts w:cs="Arial"/>
          <w:iCs/>
          <w:color w:val="000000"/>
          <w:szCs w:val="20"/>
        </w:rPr>
      </w:pPr>
      <w:r w:rsidRPr="008E7FAA">
        <w:rPr>
          <w:rFonts w:cs="Arial"/>
          <w:szCs w:val="20"/>
        </w:rPr>
        <w:lastRenderedPageBreak/>
        <w:t>V některých odvětvích jsou naměřené mzdové úrovně pro seniorské zaměstnance vyšší než průměrná mzda v daném odvětví (podle výsledků strukturální mzdové statistiky). To platí např. pro vzdělávání i pro zdravotní a sociální péči (shodně 109 %), stavebnictví (105 %) a dopravu a skladování (104 %), V jiných odvětvích senioři takto odměňováni nejsou. Jejich výplaty jsou podprůměrné zejména v administrativních a podpůrných činnostech (82 %), činnostech v oblasti nemovitostí (86 %) a v informačních a komunikačních činnost</w:t>
      </w:r>
      <w:r w:rsidR="00D92946" w:rsidRPr="008E7FAA">
        <w:rPr>
          <w:rFonts w:cs="Arial"/>
          <w:szCs w:val="20"/>
        </w:rPr>
        <w:t>ech (88 </w:t>
      </w:r>
      <w:r w:rsidRPr="008E7FAA">
        <w:rPr>
          <w:rFonts w:cs="Arial"/>
          <w:szCs w:val="20"/>
        </w:rPr>
        <w:t xml:space="preserve">%). Zároveň se v různých odvětvích liší i podíl zaměstnanců ve věku 60 a více let. V zemědělství jich </w:t>
      </w:r>
      <w:r w:rsidR="00D92946" w:rsidRPr="008E7FAA">
        <w:rPr>
          <w:rFonts w:cs="Arial"/>
          <w:szCs w:val="20"/>
        </w:rPr>
        <w:t>najdeme 15 % a ve vzdělávání 13 </w:t>
      </w:r>
      <w:r w:rsidRPr="008E7FAA">
        <w:rPr>
          <w:rFonts w:cs="Arial"/>
          <w:szCs w:val="20"/>
        </w:rPr>
        <w:t>%. Naopak pouze čtyřprocentní podíly mají v peněžnictví a pojišťovnictví nebo v ICT.</w:t>
      </w:r>
    </w:p>
    <w:p w14:paraId="609948B8" w14:textId="20B037A3" w:rsidR="00715FD6" w:rsidRPr="008E7FAA" w:rsidRDefault="00715FD6" w:rsidP="00271D34">
      <w:pPr>
        <w:autoSpaceDE w:val="0"/>
        <w:autoSpaceDN w:val="0"/>
        <w:adjustRightInd w:val="0"/>
        <w:spacing w:line="276" w:lineRule="auto"/>
        <w:jc w:val="both"/>
        <w:rPr>
          <w:rFonts w:cs="Arial"/>
          <w:iCs/>
          <w:color w:val="000000"/>
          <w:szCs w:val="20"/>
        </w:rPr>
      </w:pPr>
      <w:r w:rsidRPr="008E7FAA">
        <w:rPr>
          <w:rFonts w:cs="Arial"/>
          <w:iCs/>
          <w:color w:val="000000"/>
          <w:szCs w:val="20"/>
        </w:rPr>
        <w:t>Z hlediska klasifikace zaměstnání (CZ-ISCO) j</w:t>
      </w:r>
      <w:r w:rsidR="00271D34">
        <w:rPr>
          <w:rFonts w:cs="Arial"/>
          <w:iCs/>
          <w:color w:val="000000"/>
          <w:szCs w:val="20"/>
        </w:rPr>
        <w:t>e</w:t>
      </w:r>
      <w:r w:rsidRPr="008E7FAA">
        <w:rPr>
          <w:rFonts w:cs="Arial"/>
          <w:iCs/>
          <w:color w:val="000000"/>
          <w:szCs w:val="20"/>
        </w:rPr>
        <w:t xml:space="preserve"> nejstarší hlavní třídou </w:t>
      </w:r>
      <w:r w:rsidR="00271D34">
        <w:rPr>
          <w:rFonts w:cs="Arial"/>
          <w:iCs/>
          <w:color w:val="000000"/>
          <w:szCs w:val="20"/>
        </w:rPr>
        <w:t>ta první (</w:t>
      </w:r>
      <w:r w:rsidRPr="008E7FAA">
        <w:rPr>
          <w:rFonts w:cs="Arial"/>
          <w:iCs/>
          <w:color w:val="000000"/>
          <w:szCs w:val="20"/>
        </w:rPr>
        <w:t>řídící zaměstnanci</w:t>
      </w:r>
      <w:r w:rsidR="00271D34">
        <w:rPr>
          <w:rFonts w:cs="Arial"/>
          <w:iCs/>
          <w:color w:val="000000"/>
          <w:szCs w:val="20"/>
        </w:rPr>
        <w:t>)</w:t>
      </w:r>
      <w:r w:rsidRPr="008E7FAA">
        <w:rPr>
          <w:rFonts w:cs="Arial"/>
          <w:iCs/>
          <w:color w:val="000000"/>
          <w:szCs w:val="20"/>
        </w:rPr>
        <w:t>, jejichž průměrný věk činí 47,2 let. Takřka každý devátý manažer je ve věku 60 let a více. V této hlavní třídě pobírají zaměstnanci nejvyšší mzdy. Naopak v třídě úředníků je průměrný věk 41,9 let a seniorů tam nejdeme jen 6 %. Mzdy jsou tam podprůměrné. Vůbec nejméně nacházejí senioři uplatnění v ozbrojených silách.</w:t>
      </w:r>
    </w:p>
    <w:p w14:paraId="7387A743" w14:textId="5F679312" w:rsidR="00715FD6" w:rsidRPr="008E7FAA" w:rsidRDefault="00715FD6" w:rsidP="00271D34">
      <w:pPr>
        <w:autoSpaceDE w:val="0"/>
        <w:autoSpaceDN w:val="0"/>
        <w:adjustRightInd w:val="0"/>
        <w:spacing w:line="276" w:lineRule="auto"/>
        <w:jc w:val="both"/>
        <w:rPr>
          <w:rFonts w:cs="Arial"/>
          <w:iCs/>
          <w:color w:val="000000"/>
          <w:szCs w:val="20"/>
        </w:rPr>
      </w:pPr>
      <w:r w:rsidRPr="008E7FAA">
        <w:rPr>
          <w:rFonts w:cs="Arial"/>
          <w:iCs/>
          <w:color w:val="000000"/>
          <w:szCs w:val="20"/>
        </w:rPr>
        <w:t xml:space="preserve">Senioři ve věku od 60 let výše inklinují více než mladší skupiny k samostatné výdělečné činnosti, kde lépe zúročí své dlouholeté pracovní zkušenosti. V roce 2019 tvořili 18 % zaměstnavatelů, 14 % pracujících na vlastní účet, ale jen 8 % z dominantní skupiny </w:t>
      </w:r>
      <w:r w:rsidR="001D3125">
        <w:rPr>
          <w:rFonts w:cs="Arial"/>
          <w:iCs/>
          <w:color w:val="000000"/>
          <w:szCs w:val="20"/>
        </w:rPr>
        <w:t>zaměstnanců (podle výsledků Výběrového šetření pracovních sil</w:t>
      </w:r>
      <w:r w:rsidRPr="008E7FAA">
        <w:rPr>
          <w:rFonts w:cs="Arial"/>
          <w:iCs/>
          <w:color w:val="000000"/>
          <w:szCs w:val="20"/>
        </w:rPr>
        <w:t>).</w:t>
      </w:r>
    </w:p>
    <w:p w14:paraId="3628AF2D" w14:textId="77777777" w:rsidR="00715FD6" w:rsidRPr="008E7FAA" w:rsidRDefault="00715FD6" w:rsidP="00271D34">
      <w:pPr>
        <w:spacing w:line="276" w:lineRule="auto"/>
        <w:ind w:left="360"/>
        <w:jc w:val="center"/>
        <w:rPr>
          <w:rFonts w:cs="Arial"/>
          <w:szCs w:val="20"/>
        </w:rPr>
      </w:pPr>
      <w:r w:rsidRPr="008E7FAA">
        <w:rPr>
          <w:rFonts w:cs="Arial"/>
          <w:szCs w:val="20"/>
        </w:rPr>
        <w:t>* * *</w:t>
      </w:r>
    </w:p>
    <w:p w14:paraId="51D5124F" w14:textId="76870B13" w:rsidR="00715FD6" w:rsidRPr="008E7FAA" w:rsidRDefault="00715FD6" w:rsidP="00271D34">
      <w:pPr>
        <w:spacing w:line="276" w:lineRule="auto"/>
        <w:jc w:val="both"/>
        <w:rPr>
          <w:rFonts w:cs="Arial"/>
          <w:szCs w:val="20"/>
        </w:rPr>
      </w:pPr>
      <w:r w:rsidRPr="008E7FAA">
        <w:rPr>
          <w:rFonts w:cs="Arial"/>
          <w:szCs w:val="20"/>
        </w:rPr>
        <w:t>Toto nerovnoměrné odcházení z trhu práce do neaktivity platí nejen pro zaměstnance se standardními pracovními smlouvami odměňované mzdou, ale i pro celou zaměstnanost měřenou Výběrový</w:t>
      </w:r>
      <w:r w:rsidR="001D3125">
        <w:rPr>
          <w:rFonts w:cs="Arial"/>
          <w:szCs w:val="20"/>
        </w:rPr>
        <w:t>m šetřením pracovních sil</w:t>
      </w:r>
      <w:r w:rsidRPr="008E7FAA">
        <w:rPr>
          <w:rFonts w:cs="Arial"/>
          <w:szCs w:val="20"/>
        </w:rPr>
        <w:t>: V kategorii 55–59 let žilo v roce 2019 v ČR 640,0 tis. osob a pracovalo jich 558,4 tis., což je 87 %. V kategorii 60–64 let jich bylo 666,2 tis. a pracovalo jich 312,8 tisíc</w:t>
      </w:r>
      <w:r w:rsidR="00D92946" w:rsidRPr="008E7FAA">
        <w:rPr>
          <w:rFonts w:cs="Arial"/>
          <w:szCs w:val="20"/>
        </w:rPr>
        <w:t>, což je necelá polovina (47 </w:t>
      </w:r>
      <w:r w:rsidRPr="008E7FAA">
        <w:rPr>
          <w:rFonts w:cs="Arial"/>
          <w:szCs w:val="20"/>
        </w:rPr>
        <w:t>%). V souhrnné kategorii 65 a více let z 2 108,0 tis. osob pracovalo jen 152,1 tis., a to představuje</w:t>
      </w:r>
      <w:r w:rsidR="00D92946" w:rsidRPr="008E7FAA">
        <w:rPr>
          <w:rFonts w:cs="Arial"/>
          <w:szCs w:val="20"/>
        </w:rPr>
        <w:t xml:space="preserve"> pouhých 7 </w:t>
      </w:r>
      <w:r w:rsidRPr="008E7FAA">
        <w:rPr>
          <w:rFonts w:cs="Arial"/>
          <w:szCs w:val="20"/>
        </w:rPr>
        <w:t>%.</w:t>
      </w:r>
    </w:p>
    <w:p w14:paraId="762C4D0B" w14:textId="1DB68204" w:rsidR="00715FD6" w:rsidRPr="008E7FAA" w:rsidRDefault="00715FD6" w:rsidP="00271D34">
      <w:pPr>
        <w:spacing w:line="276" w:lineRule="auto"/>
        <w:jc w:val="both"/>
        <w:rPr>
          <w:rFonts w:cs="Arial"/>
          <w:szCs w:val="20"/>
        </w:rPr>
      </w:pPr>
      <w:r w:rsidRPr="008E7FAA">
        <w:rPr>
          <w:rFonts w:cs="Arial"/>
          <w:szCs w:val="20"/>
        </w:rPr>
        <w:t>U mužů je odliv do neaktivity o poznání pomalejší. Ve věku 60–64 let pracuje 61 % mužů a ve věku 65</w:t>
      </w:r>
      <w:r w:rsidR="00D92946" w:rsidRPr="008E7FAA">
        <w:rPr>
          <w:rFonts w:cs="Arial"/>
          <w:szCs w:val="20"/>
        </w:rPr>
        <w:t xml:space="preserve"> let a </w:t>
      </w:r>
      <w:r w:rsidRPr="008E7FAA">
        <w:rPr>
          <w:rFonts w:cs="Arial"/>
          <w:szCs w:val="20"/>
        </w:rPr>
        <w:t>více ještě desetina. Oproti tomu je ve věku 60–64 let zaměstnaná pouze každá třetí žena (34 %). Ve věku 65 a více let se jedná pouze o 5 % žen.</w:t>
      </w:r>
    </w:p>
    <w:p w14:paraId="0AAC904C" w14:textId="6164E674" w:rsidR="00715FD6" w:rsidRPr="008E7FAA" w:rsidRDefault="00A10C3F" w:rsidP="00271D34">
      <w:pPr>
        <w:pStyle w:val="Zkladntextodsazen"/>
        <w:spacing w:line="276" w:lineRule="auto"/>
        <w:ind w:firstLine="0"/>
        <w:rPr>
          <w:b/>
          <w:szCs w:val="20"/>
        </w:rPr>
      </w:pPr>
      <w:r w:rsidRPr="008E7FAA">
        <w:rPr>
          <w:b/>
          <w:szCs w:val="20"/>
        </w:rPr>
        <w:t xml:space="preserve">Tabulka 1. </w:t>
      </w:r>
      <w:r w:rsidR="00715FD6" w:rsidRPr="008E7FAA">
        <w:rPr>
          <w:b/>
          <w:szCs w:val="20"/>
        </w:rPr>
        <w:t>Pracující podle vybraných věkových skupin v tisících osob</w:t>
      </w:r>
    </w:p>
    <w:tbl>
      <w:tblPr>
        <w:tblW w:w="9351" w:type="dxa"/>
        <w:tblLayout w:type="fixed"/>
        <w:tblCellMar>
          <w:left w:w="70" w:type="dxa"/>
          <w:right w:w="70" w:type="dxa"/>
        </w:tblCellMar>
        <w:tblLook w:val="04A0" w:firstRow="1" w:lastRow="0" w:firstColumn="1" w:lastColumn="0" w:noHBand="0" w:noVBand="1"/>
      </w:tblPr>
      <w:tblGrid>
        <w:gridCol w:w="2263"/>
        <w:gridCol w:w="886"/>
        <w:gridCol w:w="886"/>
        <w:gridCol w:w="886"/>
        <w:gridCol w:w="886"/>
        <w:gridCol w:w="886"/>
        <w:gridCol w:w="886"/>
        <w:gridCol w:w="886"/>
        <w:gridCol w:w="886"/>
      </w:tblGrid>
      <w:tr w:rsidR="00715FD6" w:rsidRPr="008E7FAA" w14:paraId="1DF35D4E" w14:textId="77777777" w:rsidTr="003317A1">
        <w:trPr>
          <w:trHeight w:val="300"/>
        </w:trPr>
        <w:tc>
          <w:tcPr>
            <w:tcW w:w="2263" w:type="dxa"/>
            <w:tcBorders>
              <w:top w:val="single" w:sz="4" w:space="0" w:color="auto"/>
              <w:left w:val="single" w:sz="4" w:space="0" w:color="auto"/>
              <w:bottom w:val="nil"/>
              <w:right w:val="nil"/>
            </w:tcBorders>
            <w:shd w:val="clear" w:color="auto" w:fill="auto"/>
            <w:noWrap/>
            <w:vAlign w:val="bottom"/>
            <w:hideMark/>
          </w:tcPr>
          <w:p w14:paraId="19287241" w14:textId="77777777" w:rsidR="00715FD6" w:rsidRPr="008E7FAA" w:rsidRDefault="00715FD6" w:rsidP="00271D34">
            <w:pPr>
              <w:spacing w:after="0" w:line="276" w:lineRule="auto"/>
              <w:jc w:val="center"/>
              <w:rPr>
                <w:rFonts w:cs="Arial"/>
                <w:szCs w:val="20"/>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3D565"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2010</w:t>
            </w:r>
          </w:p>
        </w:tc>
        <w:tc>
          <w:tcPr>
            <w:tcW w:w="1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0E5CDA"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2017</w:t>
            </w:r>
          </w:p>
        </w:tc>
        <w:tc>
          <w:tcPr>
            <w:tcW w:w="1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D1D3E"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2018</w:t>
            </w:r>
          </w:p>
        </w:tc>
        <w:tc>
          <w:tcPr>
            <w:tcW w:w="17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27ABB7"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2019</w:t>
            </w:r>
          </w:p>
        </w:tc>
      </w:tr>
      <w:tr w:rsidR="00715FD6" w:rsidRPr="008E7FAA" w14:paraId="12DE7BD1" w14:textId="77777777" w:rsidTr="003317A1">
        <w:trPr>
          <w:trHeight w:val="600"/>
        </w:trPr>
        <w:tc>
          <w:tcPr>
            <w:tcW w:w="2263" w:type="dxa"/>
            <w:tcBorders>
              <w:top w:val="nil"/>
              <w:left w:val="single" w:sz="4" w:space="0" w:color="auto"/>
              <w:bottom w:val="single" w:sz="4" w:space="0" w:color="auto"/>
              <w:right w:val="nil"/>
            </w:tcBorders>
            <w:shd w:val="clear" w:color="auto" w:fill="auto"/>
            <w:noWrap/>
            <w:vAlign w:val="center"/>
            <w:hideMark/>
          </w:tcPr>
          <w:p w14:paraId="1C4F3A4D"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Ukazatel</w:t>
            </w:r>
          </w:p>
        </w:tc>
        <w:tc>
          <w:tcPr>
            <w:tcW w:w="886" w:type="dxa"/>
            <w:tcBorders>
              <w:top w:val="nil"/>
              <w:left w:val="single" w:sz="4" w:space="0" w:color="auto"/>
              <w:bottom w:val="single" w:sz="4" w:space="0" w:color="auto"/>
              <w:right w:val="single" w:sz="4" w:space="0" w:color="auto"/>
            </w:tcBorders>
            <w:shd w:val="clear" w:color="auto" w:fill="auto"/>
            <w:vAlign w:val="center"/>
            <w:hideMark/>
          </w:tcPr>
          <w:p w14:paraId="267C61F5"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celkem</w:t>
            </w:r>
          </w:p>
        </w:tc>
        <w:tc>
          <w:tcPr>
            <w:tcW w:w="886" w:type="dxa"/>
            <w:tcBorders>
              <w:top w:val="nil"/>
              <w:left w:val="nil"/>
              <w:bottom w:val="single" w:sz="4" w:space="0" w:color="auto"/>
              <w:right w:val="single" w:sz="4" w:space="0" w:color="auto"/>
            </w:tcBorders>
            <w:shd w:val="clear" w:color="auto" w:fill="auto"/>
            <w:vAlign w:val="center"/>
            <w:hideMark/>
          </w:tcPr>
          <w:p w14:paraId="0CC6C082"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z toho ženy</w:t>
            </w:r>
          </w:p>
        </w:tc>
        <w:tc>
          <w:tcPr>
            <w:tcW w:w="886" w:type="dxa"/>
            <w:tcBorders>
              <w:top w:val="nil"/>
              <w:left w:val="nil"/>
              <w:bottom w:val="single" w:sz="4" w:space="0" w:color="auto"/>
              <w:right w:val="single" w:sz="4" w:space="0" w:color="auto"/>
            </w:tcBorders>
            <w:shd w:val="clear" w:color="auto" w:fill="auto"/>
            <w:vAlign w:val="center"/>
            <w:hideMark/>
          </w:tcPr>
          <w:p w14:paraId="3FD40029"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celkem</w:t>
            </w:r>
          </w:p>
        </w:tc>
        <w:tc>
          <w:tcPr>
            <w:tcW w:w="886" w:type="dxa"/>
            <w:tcBorders>
              <w:top w:val="nil"/>
              <w:left w:val="nil"/>
              <w:bottom w:val="single" w:sz="4" w:space="0" w:color="auto"/>
              <w:right w:val="single" w:sz="4" w:space="0" w:color="auto"/>
            </w:tcBorders>
            <w:shd w:val="clear" w:color="auto" w:fill="auto"/>
            <w:vAlign w:val="center"/>
            <w:hideMark/>
          </w:tcPr>
          <w:p w14:paraId="431702EE"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z toho ženy</w:t>
            </w:r>
          </w:p>
        </w:tc>
        <w:tc>
          <w:tcPr>
            <w:tcW w:w="886" w:type="dxa"/>
            <w:tcBorders>
              <w:top w:val="nil"/>
              <w:left w:val="nil"/>
              <w:bottom w:val="single" w:sz="4" w:space="0" w:color="auto"/>
              <w:right w:val="single" w:sz="4" w:space="0" w:color="auto"/>
            </w:tcBorders>
            <w:shd w:val="clear" w:color="auto" w:fill="auto"/>
            <w:vAlign w:val="center"/>
            <w:hideMark/>
          </w:tcPr>
          <w:p w14:paraId="64D83CB9"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celkem</w:t>
            </w:r>
          </w:p>
        </w:tc>
        <w:tc>
          <w:tcPr>
            <w:tcW w:w="886" w:type="dxa"/>
            <w:tcBorders>
              <w:top w:val="nil"/>
              <w:left w:val="nil"/>
              <w:bottom w:val="single" w:sz="4" w:space="0" w:color="auto"/>
              <w:right w:val="single" w:sz="4" w:space="0" w:color="auto"/>
            </w:tcBorders>
            <w:shd w:val="clear" w:color="auto" w:fill="auto"/>
            <w:vAlign w:val="center"/>
            <w:hideMark/>
          </w:tcPr>
          <w:p w14:paraId="569E845C"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z toho ženy</w:t>
            </w:r>
          </w:p>
        </w:tc>
        <w:tc>
          <w:tcPr>
            <w:tcW w:w="886" w:type="dxa"/>
            <w:tcBorders>
              <w:top w:val="nil"/>
              <w:left w:val="nil"/>
              <w:bottom w:val="single" w:sz="4" w:space="0" w:color="auto"/>
              <w:right w:val="single" w:sz="4" w:space="0" w:color="auto"/>
            </w:tcBorders>
            <w:shd w:val="clear" w:color="auto" w:fill="auto"/>
            <w:vAlign w:val="center"/>
            <w:hideMark/>
          </w:tcPr>
          <w:p w14:paraId="1A48A0A1"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celkem</w:t>
            </w:r>
          </w:p>
        </w:tc>
        <w:tc>
          <w:tcPr>
            <w:tcW w:w="886" w:type="dxa"/>
            <w:tcBorders>
              <w:top w:val="nil"/>
              <w:left w:val="nil"/>
              <w:bottom w:val="single" w:sz="4" w:space="0" w:color="auto"/>
              <w:right w:val="single" w:sz="4" w:space="0" w:color="auto"/>
            </w:tcBorders>
            <w:shd w:val="clear" w:color="auto" w:fill="auto"/>
            <w:vAlign w:val="center"/>
            <w:hideMark/>
          </w:tcPr>
          <w:p w14:paraId="6F4706D8"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z toho ženy</w:t>
            </w:r>
          </w:p>
        </w:tc>
      </w:tr>
      <w:tr w:rsidR="00715FD6" w:rsidRPr="008E7FAA" w14:paraId="3D48082D" w14:textId="77777777" w:rsidTr="003317A1">
        <w:trPr>
          <w:trHeight w:val="300"/>
        </w:trPr>
        <w:tc>
          <w:tcPr>
            <w:tcW w:w="2263" w:type="dxa"/>
            <w:tcBorders>
              <w:top w:val="single" w:sz="4" w:space="0" w:color="auto"/>
              <w:left w:val="single" w:sz="4" w:space="0" w:color="auto"/>
              <w:bottom w:val="nil"/>
              <w:right w:val="nil"/>
            </w:tcBorders>
            <w:shd w:val="clear" w:color="auto" w:fill="auto"/>
            <w:noWrap/>
            <w:vAlign w:val="bottom"/>
            <w:hideMark/>
          </w:tcPr>
          <w:p w14:paraId="7C40B167" w14:textId="77777777" w:rsidR="00715FD6" w:rsidRPr="008E7FAA" w:rsidRDefault="00715FD6" w:rsidP="00271D34">
            <w:pPr>
              <w:spacing w:after="0" w:line="276" w:lineRule="auto"/>
              <w:jc w:val="both"/>
              <w:rPr>
                <w:rFonts w:cs="Arial"/>
                <w:color w:val="000000"/>
                <w:szCs w:val="20"/>
              </w:rPr>
            </w:pPr>
            <w:r w:rsidRPr="008E7FAA">
              <w:rPr>
                <w:rFonts w:cs="Arial"/>
                <w:color w:val="000000"/>
                <w:szCs w:val="20"/>
              </w:rPr>
              <w:t>Zaměstnaní celkem</w:t>
            </w:r>
          </w:p>
        </w:tc>
        <w:tc>
          <w:tcPr>
            <w:tcW w:w="886" w:type="dxa"/>
            <w:tcBorders>
              <w:top w:val="single" w:sz="4" w:space="0" w:color="auto"/>
              <w:left w:val="single" w:sz="4" w:space="0" w:color="auto"/>
              <w:bottom w:val="nil"/>
              <w:right w:val="nil"/>
            </w:tcBorders>
            <w:shd w:val="clear" w:color="auto" w:fill="auto"/>
            <w:noWrap/>
            <w:vAlign w:val="bottom"/>
            <w:hideMark/>
          </w:tcPr>
          <w:p w14:paraId="58E2AA43"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4885,2</w:t>
            </w:r>
          </w:p>
        </w:tc>
        <w:tc>
          <w:tcPr>
            <w:tcW w:w="886" w:type="dxa"/>
            <w:tcBorders>
              <w:top w:val="nil"/>
              <w:left w:val="single" w:sz="4" w:space="0" w:color="auto"/>
              <w:bottom w:val="nil"/>
              <w:right w:val="nil"/>
            </w:tcBorders>
            <w:shd w:val="clear" w:color="auto" w:fill="auto"/>
            <w:noWrap/>
            <w:vAlign w:val="bottom"/>
            <w:hideMark/>
          </w:tcPr>
          <w:p w14:paraId="0AAAB146"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2086,9</w:t>
            </w:r>
          </w:p>
        </w:tc>
        <w:tc>
          <w:tcPr>
            <w:tcW w:w="886" w:type="dxa"/>
            <w:tcBorders>
              <w:top w:val="nil"/>
              <w:left w:val="single" w:sz="4" w:space="0" w:color="auto"/>
              <w:bottom w:val="nil"/>
              <w:right w:val="nil"/>
            </w:tcBorders>
            <w:shd w:val="clear" w:color="auto" w:fill="auto"/>
            <w:noWrap/>
            <w:vAlign w:val="bottom"/>
            <w:hideMark/>
          </w:tcPr>
          <w:p w14:paraId="515F713E"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5221,6</w:t>
            </w:r>
          </w:p>
        </w:tc>
        <w:tc>
          <w:tcPr>
            <w:tcW w:w="886" w:type="dxa"/>
            <w:tcBorders>
              <w:top w:val="nil"/>
              <w:left w:val="single" w:sz="4" w:space="0" w:color="auto"/>
              <w:bottom w:val="nil"/>
              <w:right w:val="nil"/>
            </w:tcBorders>
            <w:shd w:val="clear" w:color="auto" w:fill="auto"/>
            <w:noWrap/>
            <w:vAlign w:val="bottom"/>
            <w:hideMark/>
          </w:tcPr>
          <w:p w14:paraId="558834CF"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2305,8</w:t>
            </w:r>
          </w:p>
        </w:tc>
        <w:tc>
          <w:tcPr>
            <w:tcW w:w="886" w:type="dxa"/>
            <w:tcBorders>
              <w:top w:val="nil"/>
              <w:left w:val="single" w:sz="4" w:space="0" w:color="auto"/>
              <w:bottom w:val="nil"/>
              <w:right w:val="nil"/>
            </w:tcBorders>
            <w:shd w:val="clear" w:color="auto" w:fill="auto"/>
            <w:noWrap/>
            <w:vAlign w:val="bottom"/>
            <w:hideMark/>
          </w:tcPr>
          <w:p w14:paraId="655EC882"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5293,8</w:t>
            </w:r>
          </w:p>
        </w:tc>
        <w:tc>
          <w:tcPr>
            <w:tcW w:w="886" w:type="dxa"/>
            <w:tcBorders>
              <w:top w:val="nil"/>
              <w:left w:val="single" w:sz="4" w:space="0" w:color="auto"/>
              <w:bottom w:val="nil"/>
              <w:right w:val="nil"/>
            </w:tcBorders>
            <w:shd w:val="clear" w:color="auto" w:fill="auto"/>
            <w:noWrap/>
            <w:vAlign w:val="bottom"/>
            <w:hideMark/>
          </w:tcPr>
          <w:p w14:paraId="003EFEDE"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2347,3</w:t>
            </w:r>
          </w:p>
        </w:tc>
        <w:tc>
          <w:tcPr>
            <w:tcW w:w="886" w:type="dxa"/>
            <w:tcBorders>
              <w:top w:val="nil"/>
              <w:left w:val="single" w:sz="4" w:space="0" w:color="auto"/>
              <w:bottom w:val="nil"/>
              <w:right w:val="single" w:sz="4" w:space="0" w:color="auto"/>
            </w:tcBorders>
            <w:shd w:val="clear" w:color="auto" w:fill="auto"/>
            <w:noWrap/>
            <w:vAlign w:val="bottom"/>
            <w:hideMark/>
          </w:tcPr>
          <w:p w14:paraId="0BC443BF"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5303,1</w:t>
            </w:r>
          </w:p>
        </w:tc>
        <w:tc>
          <w:tcPr>
            <w:tcW w:w="886" w:type="dxa"/>
            <w:tcBorders>
              <w:top w:val="nil"/>
              <w:left w:val="single" w:sz="4" w:space="0" w:color="auto"/>
              <w:bottom w:val="nil"/>
              <w:right w:val="single" w:sz="4" w:space="0" w:color="auto"/>
            </w:tcBorders>
            <w:shd w:val="clear" w:color="auto" w:fill="auto"/>
            <w:noWrap/>
            <w:vAlign w:val="bottom"/>
            <w:hideMark/>
          </w:tcPr>
          <w:p w14:paraId="0367B99A"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2352,4</w:t>
            </w:r>
          </w:p>
        </w:tc>
      </w:tr>
      <w:tr w:rsidR="00715FD6" w:rsidRPr="008E7FAA" w14:paraId="2EF81B22" w14:textId="77777777" w:rsidTr="003317A1">
        <w:trPr>
          <w:trHeight w:val="300"/>
        </w:trPr>
        <w:tc>
          <w:tcPr>
            <w:tcW w:w="2263" w:type="dxa"/>
            <w:tcBorders>
              <w:top w:val="nil"/>
              <w:left w:val="single" w:sz="4" w:space="0" w:color="auto"/>
              <w:bottom w:val="nil"/>
              <w:right w:val="nil"/>
            </w:tcBorders>
            <w:shd w:val="clear" w:color="auto" w:fill="auto"/>
            <w:noWrap/>
            <w:vAlign w:val="bottom"/>
            <w:hideMark/>
          </w:tcPr>
          <w:p w14:paraId="0F6E7C9F" w14:textId="77777777" w:rsidR="00715FD6" w:rsidRPr="008E7FAA" w:rsidRDefault="00715FD6" w:rsidP="00271D34">
            <w:pPr>
              <w:spacing w:after="0" w:line="276" w:lineRule="auto"/>
              <w:jc w:val="both"/>
              <w:rPr>
                <w:rFonts w:cs="Arial"/>
                <w:color w:val="000000"/>
                <w:szCs w:val="20"/>
              </w:rPr>
            </w:pPr>
            <w:r w:rsidRPr="008E7FAA">
              <w:rPr>
                <w:rFonts w:cs="Arial"/>
                <w:color w:val="000000"/>
                <w:szCs w:val="20"/>
              </w:rPr>
              <w:t>60 až 64 let</w:t>
            </w:r>
          </w:p>
        </w:tc>
        <w:tc>
          <w:tcPr>
            <w:tcW w:w="886" w:type="dxa"/>
            <w:tcBorders>
              <w:top w:val="nil"/>
              <w:left w:val="single" w:sz="4" w:space="0" w:color="auto"/>
              <w:bottom w:val="nil"/>
              <w:right w:val="nil"/>
            </w:tcBorders>
            <w:shd w:val="clear" w:color="auto" w:fill="auto"/>
            <w:noWrap/>
            <w:vAlign w:val="bottom"/>
            <w:hideMark/>
          </w:tcPr>
          <w:p w14:paraId="1CAF9D48"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184,7</w:t>
            </w:r>
          </w:p>
        </w:tc>
        <w:tc>
          <w:tcPr>
            <w:tcW w:w="886" w:type="dxa"/>
            <w:tcBorders>
              <w:top w:val="nil"/>
              <w:left w:val="single" w:sz="4" w:space="0" w:color="auto"/>
              <w:bottom w:val="nil"/>
              <w:right w:val="nil"/>
            </w:tcBorders>
            <w:shd w:val="clear" w:color="auto" w:fill="auto"/>
            <w:noWrap/>
            <w:vAlign w:val="bottom"/>
            <w:hideMark/>
          </w:tcPr>
          <w:p w14:paraId="18318B81"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57,7</w:t>
            </w:r>
          </w:p>
        </w:tc>
        <w:tc>
          <w:tcPr>
            <w:tcW w:w="886" w:type="dxa"/>
            <w:tcBorders>
              <w:top w:val="nil"/>
              <w:left w:val="single" w:sz="4" w:space="0" w:color="auto"/>
              <w:bottom w:val="nil"/>
              <w:right w:val="nil"/>
            </w:tcBorders>
            <w:shd w:val="clear" w:color="auto" w:fill="auto"/>
            <w:noWrap/>
            <w:vAlign w:val="bottom"/>
            <w:hideMark/>
          </w:tcPr>
          <w:p w14:paraId="3FC19E1E"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304</w:t>
            </w:r>
          </w:p>
        </w:tc>
        <w:tc>
          <w:tcPr>
            <w:tcW w:w="886" w:type="dxa"/>
            <w:tcBorders>
              <w:top w:val="nil"/>
              <w:left w:val="single" w:sz="4" w:space="0" w:color="auto"/>
              <w:bottom w:val="nil"/>
              <w:right w:val="nil"/>
            </w:tcBorders>
            <w:shd w:val="clear" w:color="auto" w:fill="auto"/>
            <w:noWrap/>
            <w:vAlign w:val="bottom"/>
            <w:hideMark/>
          </w:tcPr>
          <w:p w14:paraId="01DBBEF7"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108,9</w:t>
            </w:r>
          </w:p>
        </w:tc>
        <w:tc>
          <w:tcPr>
            <w:tcW w:w="886" w:type="dxa"/>
            <w:tcBorders>
              <w:top w:val="nil"/>
              <w:left w:val="single" w:sz="4" w:space="0" w:color="auto"/>
              <w:bottom w:val="nil"/>
              <w:right w:val="nil"/>
            </w:tcBorders>
            <w:shd w:val="clear" w:color="auto" w:fill="auto"/>
            <w:noWrap/>
            <w:vAlign w:val="bottom"/>
            <w:hideMark/>
          </w:tcPr>
          <w:p w14:paraId="6639C9F1"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319,6</w:t>
            </w:r>
          </w:p>
        </w:tc>
        <w:tc>
          <w:tcPr>
            <w:tcW w:w="886" w:type="dxa"/>
            <w:tcBorders>
              <w:top w:val="nil"/>
              <w:left w:val="single" w:sz="4" w:space="0" w:color="auto"/>
              <w:bottom w:val="nil"/>
              <w:right w:val="nil"/>
            </w:tcBorders>
            <w:shd w:val="clear" w:color="auto" w:fill="auto"/>
            <w:noWrap/>
            <w:vAlign w:val="bottom"/>
            <w:hideMark/>
          </w:tcPr>
          <w:p w14:paraId="520515F1"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120,9</w:t>
            </w:r>
          </w:p>
        </w:tc>
        <w:tc>
          <w:tcPr>
            <w:tcW w:w="886" w:type="dxa"/>
            <w:tcBorders>
              <w:top w:val="nil"/>
              <w:left w:val="single" w:sz="4" w:space="0" w:color="auto"/>
              <w:bottom w:val="nil"/>
              <w:right w:val="single" w:sz="4" w:space="0" w:color="auto"/>
            </w:tcBorders>
            <w:shd w:val="clear" w:color="auto" w:fill="auto"/>
            <w:noWrap/>
            <w:vAlign w:val="bottom"/>
            <w:hideMark/>
          </w:tcPr>
          <w:p w14:paraId="2827A4E8"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312,8</w:t>
            </w:r>
          </w:p>
        </w:tc>
        <w:tc>
          <w:tcPr>
            <w:tcW w:w="886" w:type="dxa"/>
            <w:tcBorders>
              <w:top w:val="nil"/>
              <w:left w:val="single" w:sz="4" w:space="0" w:color="auto"/>
              <w:bottom w:val="nil"/>
              <w:right w:val="single" w:sz="4" w:space="0" w:color="auto"/>
            </w:tcBorders>
            <w:shd w:val="clear" w:color="auto" w:fill="auto"/>
            <w:noWrap/>
            <w:vAlign w:val="bottom"/>
            <w:hideMark/>
          </w:tcPr>
          <w:p w14:paraId="13EE1068"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116,5</w:t>
            </w:r>
          </w:p>
        </w:tc>
      </w:tr>
      <w:tr w:rsidR="00715FD6" w:rsidRPr="008E7FAA" w14:paraId="37B257E8" w14:textId="77777777" w:rsidTr="003317A1">
        <w:trPr>
          <w:trHeight w:val="300"/>
        </w:trPr>
        <w:tc>
          <w:tcPr>
            <w:tcW w:w="2263" w:type="dxa"/>
            <w:tcBorders>
              <w:top w:val="nil"/>
              <w:left w:val="single" w:sz="4" w:space="0" w:color="auto"/>
              <w:bottom w:val="single" w:sz="4" w:space="0" w:color="auto"/>
              <w:right w:val="nil"/>
            </w:tcBorders>
            <w:shd w:val="clear" w:color="auto" w:fill="auto"/>
            <w:noWrap/>
            <w:vAlign w:val="bottom"/>
            <w:hideMark/>
          </w:tcPr>
          <w:p w14:paraId="7F35A769" w14:textId="77777777" w:rsidR="00715FD6" w:rsidRPr="008E7FAA" w:rsidRDefault="00715FD6" w:rsidP="00271D34">
            <w:pPr>
              <w:spacing w:after="0" w:line="276" w:lineRule="auto"/>
              <w:jc w:val="both"/>
              <w:rPr>
                <w:rFonts w:cs="Arial"/>
                <w:color w:val="000000"/>
                <w:szCs w:val="20"/>
              </w:rPr>
            </w:pPr>
            <w:r w:rsidRPr="008E7FAA">
              <w:rPr>
                <w:rFonts w:cs="Arial"/>
                <w:color w:val="000000"/>
                <w:szCs w:val="20"/>
              </w:rPr>
              <w:t>65 a více let</w:t>
            </w:r>
          </w:p>
        </w:tc>
        <w:tc>
          <w:tcPr>
            <w:tcW w:w="886" w:type="dxa"/>
            <w:tcBorders>
              <w:top w:val="nil"/>
              <w:left w:val="single" w:sz="4" w:space="0" w:color="auto"/>
              <w:bottom w:val="single" w:sz="4" w:space="0" w:color="auto"/>
              <w:right w:val="nil"/>
            </w:tcBorders>
            <w:shd w:val="clear" w:color="auto" w:fill="auto"/>
            <w:noWrap/>
            <w:vAlign w:val="bottom"/>
            <w:hideMark/>
          </w:tcPr>
          <w:p w14:paraId="486472F6"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75,6</w:t>
            </w:r>
          </w:p>
        </w:tc>
        <w:tc>
          <w:tcPr>
            <w:tcW w:w="886" w:type="dxa"/>
            <w:tcBorders>
              <w:top w:val="nil"/>
              <w:left w:val="single" w:sz="4" w:space="0" w:color="auto"/>
              <w:bottom w:val="single" w:sz="4" w:space="0" w:color="auto"/>
              <w:right w:val="nil"/>
            </w:tcBorders>
            <w:shd w:val="clear" w:color="auto" w:fill="auto"/>
            <w:noWrap/>
            <w:vAlign w:val="bottom"/>
            <w:hideMark/>
          </w:tcPr>
          <w:p w14:paraId="509B1F1C"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29,8</w:t>
            </w:r>
          </w:p>
        </w:tc>
        <w:tc>
          <w:tcPr>
            <w:tcW w:w="886" w:type="dxa"/>
            <w:tcBorders>
              <w:top w:val="nil"/>
              <w:left w:val="single" w:sz="4" w:space="0" w:color="auto"/>
              <w:bottom w:val="single" w:sz="4" w:space="0" w:color="auto"/>
              <w:right w:val="nil"/>
            </w:tcBorders>
            <w:shd w:val="clear" w:color="auto" w:fill="auto"/>
            <w:noWrap/>
            <w:vAlign w:val="bottom"/>
            <w:hideMark/>
          </w:tcPr>
          <w:p w14:paraId="6A05438B"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127,7</w:t>
            </w:r>
          </w:p>
        </w:tc>
        <w:tc>
          <w:tcPr>
            <w:tcW w:w="886" w:type="dxa"/>
            <w:tcBorders>
              <w:top w:val="nil"/>
              <w:left w:val="single" w:sz="4" w:space="0" w:color="auto"/>
              <w:bottom w:val="single" w:sz="4" w:space="0" w:color="auto"/>
              <w:right w:val="nil"/>
            </w:tcBorders>
            <w:shd w:val="clear" w:color="auto" w:fill="auto"/>
            <w:noWrap/>
            <w:vAlign w:val="bottom"/>
            <w:hideMark/>
          </w:tcPr>
          <w:p w14:paraId="66FD2B8C"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54,8</w:t>
            </w:r>
          </w:p>
        </w:tc>
        <w:tc>
          <w:tcPr>
            <w:tcW w:w="886" w:type="dxa"/>
            <w:tcBorders>
              <w:top w:val="nil"/>
              <w:left w:val="single" w:sz="4" w:space="0" w:color="auto"/>
              <w:bottom w:val="single" w:sz="4" w:space="0" w:color="auto"/>
              <w:right w:val="nil"/>
            </w:tcBorders>
            <w:shd w:val="clear" w:color="auto" w:fill="auto"/>
            <w:noWrap/>
            <w:vAlign w:val="bottom"/>
            <w:hideMark/>
          </w:tcPr>
          <w:p w14:paraId="197C83F6"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147</w:t>
            </w:r>
          </w:p>
        </w:tc>
        <w:tc>
          <w:tcPr>
            <w:tcW w:w="886" w:type="dxa"/>
            <w:tcBorders>
              <w:top w:val="nil"/>
              <w:left w:val="single" w:sz="4" w:space="0" w:color="auto"/>
              <w:bottom w:val="single" w:sz="4" w:space="0" w:color="auto"/>
              <w:right w:val="nil"/>
            </w:tcBorders>
            <w:shd w:val="clear" w:color="auto" w:fill="auto"/>
            <w:noWrap/>
            <w:vAlign w:val="bottom"/>
            <w:hideMark/>
          </w:tcPr>
          <w:p w14:paraId="58DF2FA2"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62,1</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5334DB2"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152,1</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1C385219" w14:textId="77777777" w:rsidR="00715FD6" w:rsidRPr="008E7FAA" w:rsidRDefault="00715FD6" w:rsidP="00271D34">
            <w:pPr>
              <w:spacing w:after="0" w:line="276" w:lineRule="auto"/>
              <w:jc w:val="center"/>
              <w:rPr>
                <w:rFonts w:cs="Arial"/>
                <w:color w:val="000000"/>
                <w:szCs w:val="20"/>
              </w:rPr>
            </w:pPr>
            <w:r w:rsidRPr="008E7FAA">
              <w:rPr>
                <w:rFonts w:cs="Arial"/>
                <w:color w:val="000000"/>
                <w:szCs w:val="20"/>
              </w:rPr>
              <w:t>64,2</w:t>
            </w:r>
          </w:p>
        </w:tc>
      </w:tr>
    </w:tbl>
    <w:p w14:paraId="4FE33C6B" w14:textId="77777777" w:rsidR="00715FD6" w:rsidRPr="00A5101C" w:rsidRDefault="00715FD6" w:rsidP="00271D34">
      <w:pPr>
        <w:pStyle w:val="Zkladntextodsazen"/>
        <w:spacing w:line="276" w:lineRule="auto"/>
        <w:ind w:firstLine="0"/>
        <w:rPr>
          <w:i/>
          <w:szCs w:val="20"/>
        </w:rPr>
      </w:pPr>
    </w:p>
    <w:p w14:paraId="5B91A63E" w14:textId="77777777" w:rsidR="00715FD6" w:rsidRPr="00A5101C" w:rsidRDefault="00715FD6" w:rsidP="00584574">
      <w:pPr>
        <w:pStyle w:val="Zkladntextodsazen"/>
        <w:spacing w:after="360" w:line="276" w:lineRule="auto"/>
        <w:ind w:firstLine="0"/>
        <w:rPr>
          <w:i/>
          <w:sz w:val="18"/>
          <w:szCs w:val="20"/>
        </w:rPr>
      </w:pPr>
      <w:r w:rsidRPr="00A5101C">
        <w:rPr>
          <w:i/>
          <w:sz w:val="18"/>
          <w:szCs w:val="20"/>
        </w:rPr>
        <w:t>Zdroj: Výběrové šetření pracovních sil ČSÚ</w:t>
      </w:r>
    </w:p>
    <w:p w14:paraId="75832A0D" w14:textId="7E984DC0" w:rsidR="00271D34" w:rsidRPr="008E7FAA" w:rsidRDefault="00271D34" w:rsidP="00271D34">
      <w:pPr>
        <w:spacing w:line="276" w:lineRule="auto"/>
        <w:jc w:val="both"/>
        <w:rPr>
          <w:rFonts w:cs="Arial"/>
          <w:szCs w:val="20"/>
        </w:rPr>
      </w:pPr>
      <w:r w:rsidRPr="008E7FAA">
        <w:rPr>
          <w:rFonts w:cs="Arial"/>
          <w:szCs w:val="20"/>
        </w:rPr>
        <w:t>Zároveň platí, že v průběhu posledního desetiletí se účast seniorské populace na zaměstnanosti výrazně navyšovala, a to zejména u žen a u starších osob. V kategorii 65 a více let se počet pracujících zdvojnásobil. Rovněž počet pracujících žen je v roce 2019 u obou věkových skupin více než dvojnásobný proti roku 2010 (viz tabulka). Téměř 9 % zaměstnanců je tedy aktuálně v seniorském věku 60 a více let.</w:t>
      </w:r>
    </w:p>
    <w:p w14:paraId="43F12DF5" w14:textId="77777777" w:rsidR="00271D34" w:rsidRPr="008E7FAA" w:rsidRDefault="00271D34" w:rsidP="00271D34">
      <w:pPr>
        <w:spacing w:line="276" w:lineRule="auto"/>
        <w:jc w:val="both"/>
        <w:rPr>
          <w:rFonts w:cs="Arial"/>
          <w:szCs w:val="20"/>
        </w:rPr>
      </w:pPr>
      <w:r w:rsidRPr="008E7FAA">
        <w:rPr>
          <w:rFonts w:cs="Arial"/>
          <w:szCs w:val="20"/>
        </w:rPr>
        <w:t>Více než dvojnásobný je také počet seniorů ve věku 65 a více let, kteří pracují i v druhém zaměstnání. V roce 2010 jich bylo 1,4 tis., v roce 2019 už 3,3 tis.</w:t>
      </w:r>
    </w:p>
    <w:p w14:paraId="167CE5F3" w14:textId="50C87084" w:rsidR="00271D34" w:rsidRPr="008E7FAA" w:rsidRDefault="00271D34" w:rsidP="00271D34">
      <w:pPr>
        <w:spacing w:line="276" w:lineRule="auto"/>
        <w:jc w:val="both"/>
        <w:rPr>
          <w:rFonts w:cs="Arial"/>
          <w:szCs w:val="20"/>
        </w:rPr>
      </w:pPr>
      <w:r w:rsidRPr="008E7FAA">
        <w:rPr>
          <w:rFonts w:cs="Arial"/>
          <w:szCs w:val="20"/>
        </w:rPr>
        <w:t>Zhruba polovina pracujících ve věku 60 a více let odpracuje týdně méně než 40 hodin. Má tedy nižší než standardní úvazek 40 hod/týdně, ve srovnání s populací 25</w:t>
      </w:r>
      <w:r w:rsidR="002A5FE8">
        <w:rPr>
          <w:rFonts w:cs="Arial"/>
          <w:szCs w:val="20"/>
        </w:rPr>
        <w:t>–</w:t>
      </w:r>
      <w:r w:rsidRPr="008E7FAA">
        <w:rPr>
          <w:rFonts w:cs="Arial"/>
          <w:szCs w:val="20"/>
        </w:rPr>
        <w:t>59 let, kde jde jen o třetinu. Možnost práce na kratší úvazky je tedy pro zaměstnávání seniorů důležité a rozšiřování této praxe napomáhá vyšší ekonomické aktivitě seniorské populace.</w:t>
      </w:r>
    </w:p>
    <w:p w14:paraId="508E5BDD" w14:textId="7084A22F" w:rsidR="00271D34" w:rsidRPr="008E7FAA" w:rsidRDefault="00271D34" w:rsidP="00271D34">
      <w:pPr>
        <w:spacing w:line="276" w:lineRule="auto"/>
        <w:jc w:val="both"/>
        <w:rPr>
          <w:rFonts w:cs="Arial"/>
          <w:szCs w:val="20"/>
        </w:rPr>
      </w:pPr>
      <w:r w:rsidRPr="008E7FAA">
        <w:rPr>
          <w:rFonts w:cs="Arial"/>
          <w:szCs w:val="20"/>
        </w:rPr>
        <w:lastRenderedPageBreak/>
        <w:t>Navzdory rostoucí ekonomické aktivitě seniorů se u nich ve zmíněném období nezvyšovala nezaměstnanost, což bylo patrně dané především růstovou fází ekonomického cyklu. V roce 2010 bylo 7,6 tis. nezaměstnaných (tj. hledajících si zaměstnání a schopný</w:t>
      </w:r>
      <w:r w:rsidR="00C37591">
        <w:rPr>
          <w:rFonts w:cs="Arial"/>
          <w:szCs w:val="20"/>
        </w:rPr>
        <w:t>ch do něj nastoupit) ve věku 60–</w:t>
      </w:r>
      <w:r w:rsidRPr="008E7FAA">
        <w:rPr>
          <w:rFonts w:cs="Arial"/>
          <w:szCs w:val="20"/>
        </w:rPr>
        <w:t>64 let, a 1,1 tis. ve věku 65 a více let. V roce 2019 bylo 4,6</w:t>
      </w:r>
      <w:r w:rsidR="00C37591">
        <w:rPr>
          <w:rFonts w:cs="Arial"/>
          <w:szCs w:val="20"/>
        </w:rPr>
        <w:t> tis. nezaměstnaných ve věku 60–</w:t>
      </w:r>
      <w:r w:rsidRPr="008E7FAA">
        <w:rPr>
          <w:rFonts w:cs="Arial"/>
          <w:szCs w:val="20"/>
        </w:rPr>
        <w:t>64 let a 0,7 tis. ve věku 65 a více let.</w:t>
      </w:r>
    </w:p>
    <w:p w14:paraId="2018D312" w14:textId="790B821F" w:rsidR="00715FD6" w:rsidRPr="008E7FAA" w:rsidRDefault="00715FD6" w:rsidP="00271D34">
      <w:pPr>
        <w:spacing w:line="276" w:lineRule="auto"/>
        <w:jc w:val="both"/>
        <w:rPr>
          <w:rFonts w:cs="Arial"/>
          <w:szCs w:val="20"/>
        </w:rPr>
      </w:pPr>
      <w:r w:rsidRPr="008E7FAA">
        <w:rPr>
          <w:rFonts w:cs="Arial"/>
          <w:szCs w:val="20"/>
        </w:rPr>
        <w:t>Nezaměstnanost byla tedy v seniorské populaci fenoménem víceméně marginálním. Po propuštění většina těchto osob odcházela do pracovní neaktivity a spoléhala na mimopracovní příjmy, zejména na starobní důchod, který mohl být i předčasný. Pouze ty osoby, kterým po propuštění poklesla životní úroveň na neudržitelnou úroveň, se snažily najít si nové pracovní místo. To však bývá v tomto věku obtížné vzhledem k přetrvávajícímu negativnímu společenskému postoji vůči starším pracovníkům a pracovnicím.</w:t>
      </w:r>
    </w:p>
    <w:p w14:paraId="73662690" w14:textId="6D7CFF73" w:rsidR="00715FD6" w:rsidRPr="008E7FAA" w:rsidRDefault="00715FD6" w:rsidP="000F3917">
      <w:pPr>
        <w:spacing w:after="360" w:line="276" w:lineRule="auto"/>
        <w:jc w:val="both"/>
        <w:rPr>
          <w:rFonts w:cs="Arial"/>
          <w:szCs w:val="20"/>
        </w:rPr>
      </w:pPr>
      <w:r w:rsidRPr="008E7FAA">
        <w:rPr>
          <w:rFonts w:cs="Arial"/>
          <w:szCs w:val="20"/>
        </w:rPr>
        <w:t>Perličkou na závěr této kapitoly může být pohled na kriminální aktivitu seniorů, která též výrazně narostla v posledním období: v roce 2015 bylo 505 odsouzených do vězení ve věku 60</w:t>
      </w:r>
      <w:r w:rsidR="002A5FE8">
        <w:rPr>
          <w:rFonts w:cs="Arial"/>
          <w:szCs w:val="20"/>
        </w:rPr>
        <w:t>–</w:t>
      </w:r>
      <w:r w:rsidR="00127C21" w:rsidRPr="008E7FAA">
        <w:rPr>
          <w:rFonts w:cs="Arial"/>
          <w:szCs w:val="20"/>
        </w:rPr>
        <w:t>69 let a ještě 55 ve věku 70 </w:t>
      </w:r>
      <w:r w:rsidR="00D92946" w:rsidRPr="008E7FAA">
        <w:rPr>
          <w:rFonts w:cs="Arial"/>
          <w:szCs w:val="20"/>
        </w:rPr>
        <w:t>a </w:t>
      </w:r>
      <w:r w:rsidRPr="008E7FAA">
        <w:rPr>
          <w:rFonts w:cs="Arial"/>
          <w:szCs w:val="20"/>
        </w:rPr>
        <w:t>více let. V roce 2019</w:t>
      </w:r>
      <w:r w:rsidR="00C37591">
        <w:rPr>
          <w:rFonts w:cs="Arial"/>
          <w:szCs w:val="20"/>
        </w:rPr>
        <w:t xml:space="preserve"> to bylo už 643 osob ve věku 60–</w:t>
      </w:r>
      <w:r w:rsidRPr="008E7FAA">
        <w:rPr>
          <w:rFonts w:cs="Arial"/>
          <w:szCs w:val="20"/>
        </w:rPr>
        <w:t>69 let a 87 starších 70 let.</w:t>
      </w:r>
    </w:p>
    <w:p w14:paraId="7657C5CD" w14:textId="77777777" w:rsidR="00715FD6" w:rsidRPr="008E7FAA" w:rsidRDefault="00715FD6" w:rsidP="00271D34">
      <w:pPr>
        <w:spacing w:line="276" w:lineRule="auto"/>
        <w:rPr>
          <w:rFonts w:cs="Arial"/>
          <w:b/>
          <w:szCs w:val="20"/>
        </w:rPr>
      </w:pPr>
      <w:r w:rsidRPr="008E7FAA">
        <w:rPr>
          <w:rFonts w:cs="Arial"/>
          <w:b/>
          <w:szCs w:val="20"/>
        </w:rPr>
        <w:t>Důchody</w:t>
      </w:r>
    </w:p>
    <w:p w14:paraId="34FB5C28" w14:textId="77777777" w:rsidR="003F53DA" w:rsidRPr="008E7FAA" w:rsidRDefault="003F53DA" w:rsidP="00271D34">
      <w:pPr>
        <w:spacing w:line="276" w:lineRule="auto"/>
        <w:jc w:val="both"/>
        <w:rPr>
          <w:rFonts w:cs="Arial"/>
          <w:iCs/>
          <w:szCs w:val="20"/>
        </w:rPr>
      </w:pPr>
      <w:r w:rsidRPr="008E7FAA">
        <w:rPr>
          <w:rFonts w:cs="Arial"/>
          <w:szCs w:val="20"/>
        </w:rPr>
        <w:t xml:space="preserve">Zásada č. 15 evropského pilíře sociálních práv uvádí, že pracovníci mají právo na důchod, který odpovídá jejich příspěvkům a zajišťuje jim přiměřený příjem. Výslovně vyjadřuje též zásadu rovných příležitostí žen a mužů, pokud jde o nabývání důchodových práv. Na dávky důchodového pojištění bylo ve finančním roce 2019 v ČR vydáno celkem 450 308 milionů Kč. Důchodové pojištění obecně zajišťuje občany pro případ stáří, invalidity nebo při ztrátě živitele. </w:t>
      </w:r>
      <w:r w:rsidRPr="008E7FAA">
        <w:rPr>
          <w:rFonts w:cs="Arial"/>
          <w:iCs/>
          <w:szCs w:val="20"/>
        </w:rPr>
        <w:t>V rámci důchodového pojištění se poskytují důchody starobní, invalidní, vdovské, vdovecké a sirotčí (zákon č. 155/1995 Sb., o důchodovém pojištění, ve znění pozdějších předpisů).</w:t>
      </w:r>
    </w:p>
    <w:p w14:paraId="2A0B36A9" w14:textId="552430FF" w:rsidR="003F53DA" w:rsidRPr="008E7FAA" w:rsidRDefault="003F53DA" w:rsidP="00271D34">
      <w:pPr>
        <w:spacing w:line="276" w:lineRule="auto"/>
        <w:jc w:val="both"/>
        <w:rPr>
          <w:rFonts w:cs="Arial"/>
          <w:iCs/>
          <w:szCs w:val="20"/>
        </w:rPr>
      </w:pPr>
      <w:r w:rsidRPr="008E7FAA">
        <w:rPr>
          <w:rFonts w:cs="Arial"/>
          <w:iCs/>
          <w:szCs w:val="20"/>
        </w:rPr>
        <w:t>Pokud jde o podíl hrubých výdajů na důchody na hrubém domácím produktu, je v evropském srovnání Česko poblíž průměru, kte</w:t>
      </w:r>
      <w:r w:rsidR="00C37591">
        <w:rPr>
          <w:rFonts w:cs="Arial"/>
          <w:iCs/>
          <w:szCs w:val="20"/>
        </w:rPr>
        <w:t>rý je však velmi nevyrovnaný (4–</w:t>
      </w:r>
      <w:r w:rsidRPr="008E7FAA">
        <w:rPr>
          <w:rFonts w:cs="Arial"/>
          <w:iCs/>
          <w:szCs w:val="20"/>
        </w:rPr>
        <w:t>13 %). V absolutních částkách jsou rozdíly ještě vyšší vzhledem k různorodosti ekonomických úrovní států EU.</w:t>
      </w:r>
    </w:p>
    <w:p w14:paraId="0B3CB9DB" w14:textId="1D8577C3" w:rsidR="003F53DA" w:rsidRPr="008E7FAA" w:rsidRDefault="003F53DA" w:rsidP="00271D34">
      <w:pPr>
        <w:spacing w:line="276" w:lineRule="auto"/>
        <w:jc w:val="both"/>
        <w:rPr>
          <w:rFonts w:cs="Arial"/>
          <w:szCs w:val="20"/>
        </w:rPr>
      </w:pPr>
      <w:r w:rsidRPr="008E7FAA">
        <w:rPr>
          <w:rFonts w:cs="Arial"/>
          <w:szCs w:val="20"/>
        </w:rPr>
        <w:t>Celkově v ČR pobíralo k 31. 12. 2019 starobní důchod 2 407 043 osob. Z toho bylo 60,3 % žen, neboť starobní důchody pobírají v důsledku výše uvedených demografických důvodů častěji ženy než muži a pobírají je déle. Výše důchodů žen je ale v průměru nižší než výše důchodu mužů, jak vypl</w:t>
      </w:r>
      <w:r w:rsidR="002B53E5">
        <w:rPr>
          <w:rFonts w:cs="Arial"/>
          <w:szCs w:val="20"/>
        </w:rPr>
        <w:t>ývá již ze zmíněné nerovnosti u </w:t>
      </w:r>
      <w:r w:rsidRPr="008E7FAA">
        <w:rPr>
          <w:rFonts w:cs="Arial"/>
          <w:szCs w:val="20"/>
        </w:rPr>
        <w:t>mezd, která se přenáší do důchodů. Stále také platí, že ženy odcházejí do důchodu o něco dříve.</w:t>
      </w:r>
    </w:p>
    <w:p w14:paraId="24432D75" w14:textId="77777777" w:rsidR="00715FD6" w:rsidRPr="008E7FAA" w:rsidRDefault="00715FD6" w:rsidP="00271D34">
      <w:pPr>
        <w:spacing w:line="276" w:lineRule="auto"/>
        <w:jc w:val="both"/>
        <w:rPr>
          <w:rFonts w:cs="Arial"/>
          <w:szCs w:val="20"/>
        </w:rPr>
      </w:pPr>
      <w:r w:rsidRPr="008E7FAA">
        <w:rPr>
          <w:rFonts w:cs="Arial"/>
          <w:szCs w:val="20"/>
        </w:rPr>
        <w:t>Výše důchodu je u jednotlivce odvozena do značné míry od předchozích pracovních příjmů. Zároveň máme průběžný důchodový systém, kdy finanční prostředky na důchody jsou vzaty z výdělků aktuálně pracujících (příspěvky na důchodové zabezpečení jsou formou daně). Proto má smysl zkoumat vývoj starobních důchodů spolu se mzdovým vývojem.</w:t>
      </w:r>
    </w:p>
    <w:p w14:paraId="4033B4E6" w14:textId="09220FF9" w:rsidR="00715FD6" w:rsidRPr="008E7FAA" w:rsidRDefault="00715FD6" w:rsidP="00271D34">
      <w:pPr>
        <w:spacing w:line="276" w:lineRule="auto"/>
        <w:jc w:val="both"/>
        <w:rPr>
          <w:rFonts w:cs="Arial"/>
          <w:szCs w:val="20"/>
        </w:rPr>
      </w:pPr>
      <w:r w:rsidRPr="008E7FAA">
        <w:rPr>
          <w:rFonts w:cs="Arial"/>
          <w:szCs w:val="20"/>
        </w:rPr>
        <w:t>Je však nutné si uvědomit, že na rozdíl od důchodů jsou mzdy sledovány v hrubých částkách, proto nelze hodnoty mezd a důchodů poměřovat přímo. Mzdové rozdělení (distribuce) j</w:t>
      </w:r>
      <w:r w:rsidR="00127C21" w:rsidRPr="008E7FAA">
        <w:rPr>
          <w:rFonts w:cs="Arial"/>
          <w:szCs w:val="20"/>
        </w:rPr>
        <w:t>e podstatně širší</w:t>
      </w:r>
      <w:r w:rsidR="00A17FEE" w:rsidRPr="008E7FAA">
        <w:rPr>
          <w:rFonts w:cs="Arial"/>
          <w:szCs w:val="20"/>
        </w:rPr>
        <w:t>,</w:t>
      </w:r>
      <w:r w:rsidR="00127C21" w:rsidRPr="008E7FAA">
        <w:rPr>
          <w:rFonts w:cs="Arial"/>
          <w:szCs w:val="20"/>
        </w:rPr>
        <w:t xml:space="preserve"> než je tomu u </w:t>
      </w:r>
      <w:r w:rsidRPr="008E7FAA">
        <w:rPr>
          <w:rFonts w:cs="Arial"/>
          <w:szCs w:val="20"/>
        </w:rPr>
        <w:t>důchodů, a také více sešikmená, takže průměrná mzda méně odpovídá běžně vyplácené částce výdělku</w:t>
      </w:r>
      <w:r w:rsidR="00A17FEE" w:rsidRPr="008E7FAA">
        <w:rPr>
          <w:rFonts w:cs="Arial"/>
          <w:szCs w:val="20"/>
        </w:rPr>
        <w:t>,</w:t>
      </w:r>
      <w:r w:rsidRPr="008E7FAA">
        <w:rPr>
          <w:rFonts w:cs="Arial"/>
          <w:szCs w:val="20"/>
        </w:rPr>
        <w:t xml:space="preserve"> než je tomu u důchodů. (To odpovídá krácení vyměřovacích základů při výpočtu důchodu a na druhé straně </w:t>
      </w:r>
      <w:proofErr w:type="spellStart"/>
      <w:r w:rsidRPr="008E7FAA">
        <w:rPr>
          <w:rFonts w:cs="Arial"/>
          <w:szCs w:val="20"/>
        </w:rPr>
        <w:t>zastropování</w:t>
      </w:r>
      <w:proofErr w:type="spellEnd"/>
      <w:r w:rsidRPr="008E7FAA">
        <w:rPr>
          <w:rFonts w:cs="Arial"/>
          <w:szCs w:val="20"/>
        </w:rPr>
        <w:t xml:space="preserve"> plateb sociálního pojištění ve výši čtyřnásobku průměrné mzdy.) Adekvátní je proto spíše poměřovat údaje v časovém vývoji.</w:t>
      </w:r>
    </w:p>
    <w:p w14:paraId="1AAFBBC4" w14:textId="474CFD29" w:rsidR="00715FD6" w:rsidRPr="008E7FAA" w:rsidRDefault="00715FD6" w:rsidP="00271D34">
      <w:pPr>
        <w:spacing w:line="276" w:lineRule="auto"/>
        <w:jc w:val="both"/>
        <w:rPr>
          <w:rFonts w:cs="Arial"/>
          <w:szCs w:val="20"/>
        </w:rPr>
      </w:pPr>
      <w:r w:rsidRPr="008E7FAA">
        <w:rPr>
          <w:rFonts w:cs="Arial"/>
          <w:szCs w:val="20"/>
        </w:rPr>
        <w:t xml:space="preserve">Od roku 2010 do 2019 se průměrná mzda zvýšila z 23 864 Kč na 34 111 Kč, tedy o 43 %. Průměrná výše důchodu </w:t>
      </w:r>
      <w:r w:rsidR="003F53DA" w:rsidRPr="008E7FAA">
        <w:rPr>
          <w:rFonts w:cs="Arial"/>
          <w:szCs w:val="20"/>
        </w:rPr>
        <w:t xml:space="preserve">(řádný starobní důchod přiznaný při dosažení důchodového věku) </w:t>
      </w:r>
      <w:r w:rsidRPr="008E7FAA">
        <w:rPr>
          <w:rFonts w:cs="Arial"/>
          <w:szCs w:val="20"/>
        </w:rPr>
        <w:t>stoupla z 10 531 Kč na 14 216 Kč, což představuje nárůst o 35 %. Řádné starobní důchody se tedy za uplynulé desetiletí zvýšily méně než mzdy. U obou ukazatelů trend výrazně zrychlil v konjunkturním období po roce 2015.</w:t>
      </w:r>
    </w:p>
    <w:p w14:paraId="62C30A5E" w14:textId="77777777" w:rsidR="00715FD6" w:rsidRPr="008E7FAA" w:rsidRDefault="00715FD6" w:rsidP="00271D34">
      <w:pPr>
        <w:spacing w:line="276" w:lineRule="auto"/>
        <w:jc w:val="both"/>
        <w:rPr>
          <w:rFonts w:cs="Arial"/>
          <w:szCs w:val="20"/>
        </w:rPr>
      </w:pPr>
      <w:r w:rsidRPr="008E7FAA">
        <w:rPr>
          <w:rFonts w:cs="Arial"/>
          <w:szCs w:val="20"/>
        </w:rPr>
        <w:t>Pro reálnou příjmovou úroveň je nutné navíc zohlednit také růst cen (inflaci), která pro seniory v důchodu znamenala za uplynulé desetiletí poněkud horší zprávu: samostatně počítaný index životních nákladů důchodců činil 118,3 %, zatímco celkový index spotřebitelských cen byl 116,5 %. Projevil se zde především rychlejší růst cen potravin v první polovině desetiletí, které tvoří podstatnější část spotřebního koše důchodců.</w:t>
      </w:r>
    </w:p>
    <w:p w14:paraId="30415586" w14:textId="700F2D49" w:rsidR="00BB6E92" w:rsidRPr="000B7034" w:rsidRDefault="00BB6E92" w:rsidP="00BB6E92">
      <w:pPr>
        <w:spacing w:before="240" w:after="60" w:line="240" w:lineRule="auto"/>
        <w:jc w:val="center"/>
        <w:rPr>
          <w:b/>
          <w:noProof/>
        </w:rPr>
      </w:pPr>
      <w:r w:rsidRPr="000B7034">
        <w:rPr>
          <w:b/>
          <w:noProof/>
        </w:rPr>
        <w:lastRenderedPageBreak/>
        <w:t xml:space="preserve">Graf </w:t>
      </w:r>
      <w:r>
        <w:rPr>
          <w:b/>
          <w:noProof/>
        </w:rPr>
        <w:t>1</w:t>
      </w:r>
      <w:r w:rsidR="007A75AF">
        <w:rPr>
          <w:b/>
          <w:noProof/>
        </w:rPr>
        <w:t>1</w:t>
      </w:r>
      <w:r w:rsidRPr="000B7034">
        <w:rPr>
          <w:b/>
          <w:noProof/>
        </w:rPr>
        <w:t xml:space="preserve">: </w:t>
      </w:r>
      <w:r>
        <w:rPr>
          <w:b/>
          <w:noProof/>
        </w:rPr>
        <w:t>Průměrná výše důchodu a průměrná hrubá mzda v ČR</w:t>
      </w:r>
    </w:p>
    <w:p w14:paraId="6F71B2E1" w14:textId="2CDCB599" w:rsidR="00715FD6" w:rsidRDefault="00011B3B" w:rsidP="001E46E3">
      <w:pPr>
        <w:spacing w:after="60" w:line="276" w:lineRule="auto"/>
        <w:jc w:val="center"/>
        <w:rPr>
          <w:rFonts w:cs="Arial"/>
          <w:szCs w:val="20"/>
        </w:rPr>
      </w:pPr>
      <w:r>
        <w:rPr>
          <w:rFonts w:cs="Arial"/>
          <w:noProof/>
          <w:szCs w:val="20"/>
        </w:rPr>
        <w:drawing>
          <wp:inline distT="0" distB="0" distL="0" distR="0" wp14:anchorId="005C6F8F" wp14:editId="20B8C1D4">
            <wp:extent cx="6151245" cy="2974975"/>
            <wp:effectExtent l="0" t="0" r="1905"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1245" cy="2974975"/>
                    </a:xfrm>
                    <a:prstGeom prst="rect">
                      <a:avLst/>
                    </a:prstGeom>
                    <a:noFill/>
                  </pic:spPr>
                </pic:pic>
              </a:graphicData>
            </a:graphic>
          </wp:inline>
        </w:drawing>
      </w:r>
    </w:p>
    <w:p w14:paraId="2BC67E52" w14:textId="2D85397B" w:rsidR="001E46E3" w:rsidRPr="00C7401D" w:rsidRDefault="001E46E3" w:rsidP="001E46E3">
      <w:pPr>
        <w:spacing w:after="360" w:line="240" w:lineRule="auto"/>
        <w:ind w:left="284"/>
        <w:rPr>
          <w:rFonts w:cs="Arial"/>
          <w:i/>
          <w:sz w:val="18"/>
          <w:szCs w:val="18"/>
        </w:rPr>
      </w:pPr>
      <w:r w:rsidRPr="00C7401D">
        <w:rPr>
          <w:i/>
          <w:noProof/>
          <w:sz w:val="18"/>
          <w:szCs w:val="18"/>
        </w:rPr>
        <w:t xml:space="preserve">Zdroj: </w:t>
      </w:r>
      <w:r>
        <w:rPr>
          <w:i/>
          <w:noProof/>
          <w:sz w:val="18"/>
          <w:szCs w:val="18"/>
        </w:rPr>
        <w:t>ČSÚ a ČSSZ</w:t>
      </w:r>
    </w:p>
    <w:p w14:paraId="77E84FCE" w14:textId="46D1D8A7" w:rsidR="00715FD6" w:rsidRPr="008E7FAA" w:rsidRDefault="008C47A2" w:rsidP="001E46E3">
      <w:pPr>
        <w:pStyle w:val="Zkladntextodsazen"/>
        <w:spacing w:after="240" w:line="276" w:lineRule="auto"/>
        <w:ind w:firstLine="0"/>
        <w:rPr>
          <w:szCs w:val="20"/>
        </w:rPr>
      </w:pPr>
      <w:r>
        <w:rPr>
          <w:szCs w:val="20"/>
        </w:rPr>
        <w:t>Zdroj pro graf 11 tvoří</w:t>
      </w:r>
      <w:r w:rsidR="00715FD6" w:rsidRPr="008E7FAA">
        <w:rPr>
          <w:szCs w:val="20"/>
        </w:rPr>
        <w:t xml:space="preserve"> podniková st</w:t>
      </w:r>
      <w:r>
        <w:rPr>
          <w:szCs w:val="20"/>
        </w:rPr>
        <w:t>atistika ČSÚ (mzdy zaměstnanců) a</w:t>
      </w:r>
      <w:r w:rsidR="00715FD6" w:rsidRPr="008E7FAA">
        <w:rPr>
          <w:szCs w:val="20"/>
        </w:rPr>
        <w:t xml:space="preserve"> otevřená data České správy sociálního zabezpečení (řádný starobní důchod přiznaný při dosažení důchodového věku)</w:t>
      </w:r>
      <w:r>
        <w:rPr>
          <w:szCs w:val="20"/>
        </w:rPr>
        <w:t>.</w:t>
      </w:r>
    </w:p>
    <w:p w14:paraId="14DA2681" w14:textId="77777777" w:rsidR="00715FD6" w:rsidRPr="008E7FAA" w:rsidRDefault="00715FD6" w:rsidP="00271D34">
      <w:pPr>
        <w:spacing w:line="276" w:lineRule="auto"/>
        <w:jc w:val="both"/>
        <w:rPr>
          <w:rFonts w:cs="Arial"/>
          <w:szCs w:val="20"/>
        </w:rPr>
      </w:pPr>
      <w:r w:rsidRPr="008E7FAA">
        <w:rPr>
          <w:rFonts w:cs="Arial"/>
          <w:szCs w:val="20"/>
        </w:rPr>
        <w:t xml:space="preserve">Výrazně nižší než uvedené částky (cca o 15 %) jsou tzv. </w:t>
      </w:r>
      <w:r w:rsidRPr="008E7FAA">
        <w:rPr>
          <w:rFonts w:cs="Arial"/>
          <w:b/>
          <w:szCs w:val="20"/>
        </w:rPr>
        <w:t>předčasné důchody</w:t>
      </w:r>
      <w:r w:rsidRPr="008E7FAA">
        <w:rPr>
          <w:rFonts w:cs="Arial"/>
          <w:szCs w:val="20"/>
        </w:rPr>
        <w:t>, tedy starobní důchody přiznané před důchodovým věkem, které jsou trvale krácené pro předčasnost. Za desetiletí se jejich průměrná hodnota zvýšila jen o 34 %, z 8 989 Kč v roce 2010 na 12 020 Kč v roce 2019. Tyto důchody volí především osoby, které po propuštění ze zaměstnání již nenacházejí nové důstojné uplatnění na trhu práce.</w:t>
      </w:r>
    </w:p>
    <w:p w14:paraId="1003E601" w14:textId="77777777" w:rsidR="00715FD6" w:rsidRPr="008E7FAA" w:rsidRDefault="00715FD6" w:rsidP="00271D34">
      <w:pPr>
        <w:spacing w:line="276" w:lineRule="auto"/>
        <w:jc w:val="both"/>
        <w:rPr>
          <w:rFonts w:cs="Arial"/>
          <w:szCs w:val="20"/>
        </w:rPr>
      </w:pPr>
      <w:r w:rsidRPr="008E7FAA">
        <w:rPr>
          <w:rFonts w:cs="Arial"/>
          <w:szCs w:val="20"/>
        </w:rPr>
        <w:t>V roce 2019 pobíralo předčasný důchod 643 tis. obyvatel, což je téměř 27 % ze všech starobních důchodců. Mezi nově přiznanými důchody tvořily loni ty předčasné dokonce 29 %. Odložený odchod do důchodu naopak využilo pouze 0,8 % ze všech nových důchodců. Podíl předčasných důchodů v Česku přitom každoročně narůstá. Ještě před deseti lety představovaly pouze 19 % ze všech starobních důchodů.</w:t>
      </w:r>
    </w:p>
    <w:p w14:paraId="009B5E41" w14:textId="77777777" w:rsidR="00715FD6" w:rsidRPr="008E7FAA" w:rsidRDefault="00715FD6" w:rsidP="00271D34">
      <w:pPr>
        <w:spacing w:line="276" w:lineRule="auto"/>
        <w:jc w:val="both"/>
        <w:rPr>
          <w:rFonts w:cs="Arial"/>
          <w:szCs w:val="20"/>
        </w:rPr>
      </w:pPr>
      <w:r w:rsidRPr="008E7FAA">
        <w:rPr>
          <w:rFonts w:cs="Arial"/>
          <w:szCs w:val="20"/>
        </w:rPr>
        <w:t>Výrazné jsou zde též regionální rozdíly. Nejnižší zastoupení předčasných starobních důchodů bylo v Praze (14 %). Podprůměrné bylo také ve Středočeském a Jihomoravském kraji (23 %, respektive 25 %). Naopak maximální podíl předčasných starobních důchodů byl v Kraji Vysočina (34 %). Více než 30% podíl byl zjištěn v Pardubickém, Moravskoslezském a Olomouckém kraji.</w:t>
      </w:r>
    </w:p>
    <w:p w14:paraId="404A7BB9" w14:textId="77777777" w:rsidR="00FB51FE" w:rsidRDefault="00FB51FE" w:rsidP="00271D34">
      <w:pPr>
        <w:spacing w:after="0" w:line="240" w:lineRule="auto"/>
        <w:rPr>
          <w:rFonts w:cs="Arial"/>
          <w:b/>
          <w:szCs w:val="20"/>
        </w:rPr>
      </w:pPr>
      <w:r>
        <w:rPr>
          <w:rFonts w:cs="Arial"/>
          <w:b/>
          <w:szCs w:val="20"/>
        </w:rPr>
        <w:br w:type="page"/>
      </w:r>
    </w:p>
    <w:p w14:paraId="7D0E5516" w14:textId="5B11432A" w:rsidR="00715FD6" w:rsidRPr="008E7FAA" w:rsidRDefault="00715FD6" w:rsidP="00271D34">
      <w:pPr>
        <w:spacing w:line="276" w:lineRule="auto"/>
        <w:jc w:val="both"/>
        <w:rPr>
          <w:rFonts w:cs="Arial"/>
          <w:b/>
          <w:szCs w:val="20"/>
        </w:rPr>
      </w:pPr>
      <w:r w:rsidRPr="008E7FAA">
        <w:rPr>
          <w:rFonts w:cs="Arial"/>
          <w:b/>
          <w:szCs w:val="20"/>
        </w:rPr>
        <w:lastRenderedPageBreak/>
        <w:t>Příjmy domácností</w:t>
      </w:r>
    </w:p>
    <w:p w14:paraId="395CCFF0" w14:textId="77777777" w:rsidR="00221F05" w:rsidRPr="008E7FAA" w:rsidRDefault="00715FD6" w:rsidP="00271D34">
      <w:pPr>
        <w:spacing w:line="276" w:lineRule="auto"/>
        <w:jc w:val="both"/>
        <w:rPr>
          <w:rFonts w:eastAsia="Calibri" w:cs="Arial"/>
          <w:szCs w:val="20"/>
        </w:rPr>
      </w:pPr>
      <w:r w:rsidRPr="008E7FAA">
        <w:rPr>
          <w:rFonts w:eastAsia="Calibri" w:cs="Arial"/>
          <w:szCs w:val="20"/>
        </w:rPr>
        <w:t xml:space="preserve">Příjmy českých domácností ze zaměstnání, podnikání, důchodů či sociálních dávek v posledních letech rychle stoupaly. Vyplývá to ze závěrů šetření "Životní podmínky domácností 2019", známého pod zkratkou SILC (Statistics on </w:t>
      </w:r>
      <w:proofErr w:type="spellStart"/>
      <w:r w:rsidRPr="008E7FAA">
        <w:rPr>
          <w:rFonts w:eastAsia="Calibri" w:cs="Arial"/>
          <w:szCs w:val="20"/>
        </w:rPr>
        <w:t>Income</w:t>
      </w:r>
      <w:proofErr w:type="spellEnd"/>
      <w:r w:rsidRPr="008E7FAA">
        <w:rPr>
          <w:rFonts w:eastAsia="Calibri" w:cs="Arial"/>
          <w:szCs w:val="20"/>
        </w:rPr>
        <w:t xml:space="preserve"> and </w:t>
      </w:r>
      <w:proofErr w:type="spellStart"/>
      <w:r w:rsidRPr="008E7FAA">
        <w:rPr>
          <w:rFonts w:eastAsia="Calibri" w:cs="Arial"/>
          <w:szCs w:val="20"/>
        </w:rPr>
        <w:t>Living</w:t>
      </w:r>
      <w:proofErr w:type="spellEnd"/>
      <w:r w:rsidRPr="008E7FAA">
        <w:rPr>
          <w:rFonts w:eastAsia="Calibri" w:cs="Arial"/>
          <w:szCs w:val="20"/>
        </w:rPr>
        <w:t xml:space="preserve"> </w:t>
      </w:r>
      <w:proofErr w:type="spellStart"/>
      <w:r w:rsidRPr="008E7FAA">
        <w:rPr>
          <w:rFonts w:eastAsia="Calibri" w:cs="Arial"/>
          <w:szCs w:val="20"/>
        </w:rPr>
        <w:t>Conditions</w:t>
      </w:r>
      <w:proofErr w:type="spellEnd"/>
      <w:r w:rsidRPr="008E7FAA">
        <w:rPr>
          <w:rFonts w:eastAsia="Calibri" w:cs="Arial"/>
          <w:szCs w:val="20"/>
        </w:rPr>
        <w:t>), které vedle aktuální životní úrovně mapovalo i příjmovou situaci domácností za předchozí rok 2018.</w:t>
      </w:r>
    </w:p>
    <w:p w14:paraId="29E3184B" w14:textId="54D337FE" w:rsidR="00715FD6" w:rsidRPr="008E7FAA" w:rsidRDefault="00221F05" w:rsidP="00271D34">
      <w:pPr>
        <w:spacing w:line="276" w:lineRule="auto"/>
        <w:jc w:val="both"/>
        <w:rPr>
          <w:rFonts w:eastAsia="Calibri" w:cs="Arial"/>
          <w:szCs w:val="20"/>
        </w:rPr>
      </w:pPr>
      <w:r w:rsidRPr="008E7FAA">
        <w:rPr>
          <w:rFonts w:eastAsia="Calibri" w:cs="Arial"/>
          <w:szCs w:val="20"/>
        </w:rPr>
        <w:t>Zatímco příjmy jsou sledované za rok 2018, ostatní charakteristiky z šetření se vztahují k roku 2019.</w:t>
      </w:r>
      <w:r w:rsidR="00715FD6" w:rsidRPr="008E7FAA">
        <w:rPr>
          <w:rFonts w:eastAsia="Calibri" w:cs="Arial"/>
          <w:szCs w:val="20"/>
        </w:rPr>
        <w:t xml:space="preserve">  </w:t>
      </w:r>
    </w:p>
    <w:p w14:paraId="0827ACEC" w14:textId="77777777" w:rsidR="00715FD6" w:rsidRPr="008E7FAA" w:rsidRDefault="00715FD6" w:rsidP="00271D34">
      <w:pPr>
        <w:spacing w:line="276" w:lineRule="auto"/>
        <w:jc w:val="both"/>
        <w:rPr>
          <w:rFonts w:eastAsia="Calibri" w:cs="Arial"/>
          <w:szCs w:val="20"/>
        </w:rPr>
      </w:pPr>
      <w:r w:rsidRPr="008E7FAA">
        <w:rPr>
          <w:rFonts w:eastAsia="Calibri" w:cs="Arial"/>
          <w:szCs w:val="20"/>
        </w:rPr>
        <w:t xml:space="preserve">Na každou osobu v domácnosti připadal za rok 2018 průměrný čistý příjem 195,1 tisíc korun. Oproti předešlému roku to bylo o 12 700 korun více, což znamená meziroční růst o 6,9 %. Měsíční průměr čistých příjmů na osobu činil 16 256 Kč. Pokud bychom odečetli vliv inflace, vzrostly meziročně příjmy reálně o téměř pět procent. </w:t>
      </w:r>
    </w:p>
    <w:p w14:paraId="75218BA2" w14:textId="32584DBC" w:rsidR="00715FD6" w:rsidRPr="008E7FAA" w:rsidRDefault="00715FD6" w:rsidP="00271D34">
      <w:pPr>
        <w:spacing w:line="276" w:lineRule="auto"/>
        <w:jc w:val="both"/>
        <w:rPr>
          <w:rFonts w:eastAsia="Calibri" w:cs="Arial"/>
          <w:szCs w:val="20"/>
        </w:rPr>
      </w:pPr>
      <w:r w:rsidRPr="008E7FAA">
        <w:rPr>
          <w:rFonts w:eastAsia="Calibri" w:cs="Arial"/>
          <w:szCs w:val="20"/>
        </w:rPr>
        <w:t>Nejvyšší příjmy přitom zaznamenaly domácnosti jednotlivců. U těch mladších</w:t>
      </w:r>
      <w:r w:rsidR="00127C21" w:rsidRPr="008E7FAA">
        <w:rPr>
          <w:rFonts w:eastAsia="Calibri" w:cs="Arial"/>
          <w:szCs w:val="20"/>
        </w:rPr>
        <w:t xml:space="preserve"> 65 let se blížily k částce 300 </w:t>
      </w:r>
      <w:r w:rsidRPr="008E7FAA">
        <w:rPr>
          <w:rFonts w:eastAsia="Calibri" w:cs="Arial"/>
          <w:szCs w:val="20"/>
        </w:rPr>
        <w:t xml:space="preserve">tisíc korun za rok. Z pohledu ekonomické aktivity se průměrně zvýšily příjmy všem skupinám domácností. Absolutně nejvyšší průměrné čisté peněžní příjmy měly domácnosti samostatně výdělečně činných. Příjmy domácností nepracujících důchodců se zvýšily na 156,1 tisíc Kč na osobu a rostly opět o něco větším tempem než v předchozím roce (4,4 %). </w:t>
      </w:r>
      <w:r w:rsidRPr="008E7FAA">
        <w:rPr>
          <w:rFonts w:cs="Arial"/>
          <w:szCs w:val="20"/>
        </w:rPr>
        <w:t>Roční disponibilní příjmy členů domácností d</w:t>
      </w:r>
      <w:r w:rsidR="00127C21" w:rsidRPr="008E7FAA">
        <w:rPr>
          <w:rFonts w:cs="Arial"/>
          <w:szCs w:val="20"/>
        </w:rPr>
        <w:t>ůchodců (163 889 Kč) byly asi o </w:t>
      </w:r>
      <w:r w:rsidRPr="008E7FAA">
        <w:rPr>
          <w:rFonts w:cs="Arial"/>
          <w:szCs w:val="20"/>
        </w:rPr>
        <w:t>32 tisíc Kč nižší, než činí celkový průměr, ovšem oproti například domá</w:t>
      </w:r>
      <w:r w:rsidR="00127C21" w:rsidRPr="008E7FAA">
        <w:rPr>
          <w:rFonts w:cs="Arial"/>
          <w:szCs w:val="20"/>
        </w:rPr>
        <w:t>cnostem samostatně činných, tj. </w:t>
      </w:r>
      <w:r w:rsidRPr="008E7FAA">
        <w:rPr>
          <w:rFonts w:cs="Arial"/>
          <w:szCs w:val="20"/>
        </w:rPr>
        <w:t>podnikatelů, již zaostávají o 53 tisíc Kč. Při posuzování podle věku a složení domácnosti příjmy domácností, v nichž žije osamělý senior nad 65 let, lehce přesáhly úroveň 183 tisíc Kč ročně, což je o 100 tisíc korun méně, než byly příjmy domácností jednotlivců pod 65 let.</w:t>
      </w:r>
    </w:p>
    <w:p w14:paraId="3B65A0F2" w14:textId="4F4379D9" w:rsidR="008B2782" w:rsidRPr="000B7034" w:rsidRDefault="008B2782" w:rsidP="008B2782">
      <w:pPr>
        <w:spacing w:before="240" w:after="60" w:line="240" w:lineRule="auto"/>
        <w:jc w:val="center"/>
        <w:rPr>
          <w:b/>
          <w:noProof/>
        </w:rPr>
      </w:pPr>
      <w:r w:rsidRPr="000B7034">
        <w:rPr>
          <w:b/>
          <w:noProof/>
        </w:rPr>
        <w:t xml:space="preserve">Graf </w:t>
      </w:r>
      <w:r>
        <w:rPr>
          <w:b/>
          <w:noProof/>
        </w:rPr>
        <w:t>12</w:t>
      </w:r>
      <w:r w:rsidRPr="000B7034">
        <w:rPr>
          <w:b/>
          <w:noProof/>
        </w:rPr>
        <w:t xml:space="preserve">: </w:t>
      </w:r>
      <w:r>
        <w:rPr>
          <w:b/>
          <w:noProof/>
        </w:rPr>
        <w:t xml:space="preserve">Roční čisté peněžní příjmy domácností na osobu </w:t>
      </w:r>
      <w:r>
        <w:rPr>
          <w:b/>
          <w:noProof/>
        </w:rPr>
        <w:br/>
        <w:t>podle typu domácnosti v roce 2018</w:t>
      </w:r>
    </w:p>
    <w:p w14:paraId="7C697944" w14:textId="3AA81D0D" w:rsidR="00715FD6" w:rsidRDefault="00011B3B" w:rsidP="001F41CA">
      <w:pPr>
        <w:spacing w:after="60" w:line="240" w:lineRule="auto"/>
        <w:jc w:val="center"/>
        <w:rPr>
          <w:rFonts w:eastAsia="Calibri" w:cs="Arial"/>
          <w:szCs w:val="20"/>
        </w:rPr>
      </w:pPr>
      <w:r>
        <w:rPr>
          <w:rFonts w:eastAsia="Calibri" w:cs="Arial"/>
          <w:noProof/>
          <w:szCs w:val="20"/>
        </w:rPr>
        <w:drawing>
          <wp:inline distT="0" distB="0" distL="0" distR="0" wp14:anchorId="658CBE19" wp14:editId="7086A8DB">
            <wp:extent cx="5852795" cy="2816860"/>
            <wp:effectExtent l="0" t="0" r="0" b="254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2795" cy="2816860"/>
                    </a:xfrm>
                    <a:prstGeom prst="rect">
                      <a:avLst/>
                    </a:prstGeom>
                    <a:noFill/>
                  </pic:spPr>
                </pic:pic>
              </a:graphicData>
            </a:graphic>
          </wp:inline>
        </w:drawing>
      </w:r>
    </w:p>
    <w:p w14:paraId="1A59135C" w14:textId="7249B0BD" w:rsidR="001F41CA" w:rsidRPr="00C7401D" w:rsidRDefault="001F41CA" w:rsidP="001F41CA">
      <w:pPr>
        <w:spacing w:line="240" w:lineRule="auto"/>
        <w:ind w:left="454"/>
        <w:rPr>
          <w:rFonts w:cs="Arial"/>
          <w:i/>
          <w:sz w:val="18"/>
          <w:szCs w:val="18"/>
        </w:rPr>
      </w:pPr>
      <w:r w:rsidRPr="00C7401D">
        <w:rPr>
          <w:i/>
          <w:noProof/>
          <w:sz w:val="18"/>
          <w:szCs w:val="18"/>
        </w:rPr>
        <w:t xml:space="preserve">Zdroj: </w:t>
      </w:r>
      <w:r>
        <w:rPr>
          <w:i/>
          <w:noProof/>
          <w:sz w:val="18"/>
          <w:szCs w:val="18"/>
        </w:rPr>
        <w:t>ČSÚ</w:t>
      </w:r>
    </w:p>
    <w:p w14:paraId="31D3A697" w14:textId="77777777" w:rsidR="00715FD6" w:rsidRPr="008E7FAA" w:rsidRDefault="00715FD6" w:rsidP="00271D34">
      <w:pPr>
        <w:spacing w:line="276" w:lineRule="auto"/>
        <w:jc w:val="both"/>
        <w:rPr>
          <w:rFonts w:eastAsia="Calibri" w:cs="Arial"/>
          <w:b/>
          <w:bCs/>
          <w:szCs w:val="20"/>
        </w:rPr>
      </w:pPr>
      <w:r w:rsidRPr="008E7FAA">
        <w:rPr>
          <w:rFonts w:eastAsia="Calibri" w:cs="Arial"/>
          <w:b/>
          <w:bCs/>
          <w:szCs w:val="20"/>
        </w:rPr>
        <w:t>Zdroje příjmů seniorů</w:t>
      </w:r>
    </w:p>
    <w:p w14:paraId="1FAACA1F" w14:textId="77777777" w:rsidR="00715FD6" w:rsidRPr="008E7FAA" w:rsidRDefault="00715FD6" w:rsidP="00271D34">
      <w:pPr>
        <w:spacing w:line="276" w:lineRule="auto"/>
        <w:jc w:val="both"/>
        <w:rPr>
          <w:rFonts w:eastAsia="Calibri" w:cs="Arial"/>
          <w:szCs w:val="20"/>
        </w:rPr>
      </w:pPr>
      <w:r w:rsidRPr="008E7FAA">
        <w:rPr>
          <w:rFonts w:eastAsia="Calibri" w:cs="Arial"/>
          <w:szCs w:val="20"/>
        </w:rPr>
        <w:t>Hrubé příjmy domácností jednotlivců starších 65 let jsou tvořeny převážně důchody. Pokud nezacházíme do podrobnějšího členění, je tomu skutečně tak. Celkové důchody se na jejich hrubém příjmu podílejí z 86,5 %, ostatní zdroje příjmů jsou víceméně zanedbatelné.</w:t>
      </w:r>
    </w:p>
    <w:p w14:paraId="7618C3E0" w14:textId="77777777" w:rsidR="00715FD6" w:rsidRPr="008E7FAA" w:rsidRDefault="00715FD6" w:rsidP="00271D34">
      <w:pPr>
        <w:spacing w:line="276" w:lineRule="auto"/>
        <w:jc w:val="both"/>
        <w:rPr>
          <w:rFonts w:eastAsia="Calibri" w:cs="Arial"/>
          <w:szCs w:val="20"/>
        </w:rPr>
      </w:pPr>
      <w:r w:rsidRPr="008E7FAA">
        <w:rPr>
          <w:rFonts w:eastAsia="Calibri" w:cs="Arial"/>
          <w:szCs w:val="20"/>
        </w:rPr>
        <w:t>V poslední době se však stále více objevují domácnosti pracujících důchodců. V domácnostech, kde žije pracující důchodce, nepřevažují důchody (34,9 %), ale příjem ze závislé činnosti (42,7 %). Na třetím místě jsou pak příjmy z podnikání (21,1 %). Oproti tomu domácnosti nepracujících důchodců mají podle očekávání jako hlavní zdroj svých příjmů důchody (92 %), zbylých 8 % je rozděleno mezi ostatní složky.</w:t>
      </w:r>
    </w:p>
    <w:p w14:paraId="45958490" w14:textId="57D863C3" w:rsidR="00715FD6" w:rsidRPr="008E7FAA" w:rsidRDefault="00715FD6" w:rsidP="00271D34">
      <w:pPr>
        <w:spacing w:line="276" w:lineRule="auto"/>
        <w:jc w:val="both"/>
        <w:rPr>
          <w:rFonts w:eastAsia="Calibri" w:cs="Arial"/>
          <w:b/>
          <w:szCs w:val="20"/>
        </w:rPr>
      </w:pPr>
      <w:r w:rsidRPr="008E7FAA">
        <w:rPr>
          <w:rFonts w:eastAsia="Calibri" w:cs="Arial"/>
          <w:b/>
          <w:szCs w:val="20"/>
        </w:rPr>
        <w:lastRenderedPageBreak/>
        <w:t>Vycházení s příjmem</w:t>
      </w:r>
    </w:p>
    <w:p w14:paraId="140B678D" w14:textId="4F4DF983" w:rsidR="00715FD6" w:rsidRPr="008E7FAA" w:rsidRDefault="00715FD6" w:rsidP="00271D34">
      <w:pPr>
        <w:spacing w:line="276" w:lineRule="auto"/>
        <w:jc w:val="both"/>
        <w:rPr>
          <w:rFonts w:cs="Arial"/>
          <w:szCs w:val="20"/>
        </w:rPr>
      </w:pPr>
      <w:r w:rsidRPr="008E7FAA">
        <w:rPr>
          <w:rFonts w:eastAsia="Calibri" w:cs="Arial"/>
          <w:szCs w:val="20"/>
        </w:rPr>
        <w:t xml:space="preserve">Většina domácností vychází se svými příjmy docela snadno nebo jen s menšími obtížemi. </w:t>
      </w:r>
      <w:r w:rsidRPr="008E7FAA">
        <w:rPr>
          <w:rFonts w:cs="Arial"/>
          <w:szCs w:val="20"/>
        </w:rPr>
        <w:t>V roce 2019 uvedlo 18,4 % domácností, že vycházejí se svými příjmy snadno až velmi sn</w:t>
      </w:r>
      <w:r w:rsidR="00127C21" w:rsidRPr="008E7FAA">
        <w:rPr>
          <w:rFonts w:cs="Arial"/>
          <w:szCs w:val="20"/>
        </w:rPr>
        <w:t>adno, rok předtím to bylo o 3,2 </w:t>
      </w:r>
      <w:r w:rsidRPr="008E7FAA">
        <w:rPr>
          <w:rFonts w:cs="Arial"/>
          <w:szCs w:val="20"/>
        </w:rPr>
        <w:t>procentního bodu méně. Naopak 14,3 % domácností v roce 2019 uvedlo, že vycházejí s obtížemi až velkými obtížemi, což meziročně představuje pokles o 3,3 a ve srovnání napřík</w:t>
      </w:r>
      <w:r w:rsidR="00127C21" w:rsidRPr="008E7FAA">
        <w:rPr>
          <w:rFonts w:cs="Arial"/>
          <w:szCs w:val="20"/>
        </w:rPr>
        <w:t>lad s rokem 2013 dokonce o 17,9 </w:t>
      </w:r>
      <w:r w:rsidRPr="008E7FAA">
        <w:rPr>
          <w:rFonts w:cs="Arial"/>
          <w:szCs w:val="20"/>
        </w:rPr>
        <w:t>procentního bodu. Ve skupině jednotlivců nad 65 let je domácností, které vycházejí obtížně s příjmy, téměř jedna pětina.</w:t>
      </w:r>
    </w:p>
    <w:p w14:paraId="3E116629" w14:textId="33B5A770" w:rsidR="00213F56" w:rsidRPr="000B7034" w:rsidRDefault="00213F56" w:rsidP="00213F56">
      <w:pPr>
        <w:spacing w:before="240" w:after="60" w:line="240" w:lineRule="auto"/>
        <w:jc w:val="center"/>
        <w:rPr>
          <w:b/>
          <w:noProof/>
        </w:rPr>
      </w:pPr>
      <w:r w:rsidRPr="000B7034">
        <w:rPr>
          <w:b/>
          <w:noProof/>
        </w:rPr>
        <w:t xml:space="preserve">Graf </w:t>
      </w:r>
      <w:r>
        <w:rPr>
          <w:b/>
          <w:noProof/>
        </w:rPr>
        <w:t>13</w:t>
      </w:r>
      <w:r w:rsidRPr="000B7034">
        <w:rPr>
          <w:b/>
          <w:noProof/>
        </w:rPr>
        <w:t xml:space="preserve">: </w:t>
      </w:r>
      <w:r>
        <w:rPr>
          <w:b/>
          <w:noProof/>
        </w:rPr>
        <w:t xml:space="preserve">Podíly jednotlivých typů příjmů u vybraných typů </w:t>
      </w:r>
      <w:r>
        <w:rPr>
          <w:b/>
          <w:noProof/>
        </w:rPr>
        <w:br/>
        <w:t>domácnosti v roce 2018</w:t>
      </w:r>
    </w:p>
    <w:p w14:paraId="4E8417E8" w14:textId="6C7269C1" w:rsidR="00E4091B" w:rsidRDefault="00011B3B" w:rsidP="001F41CA">
      <w:pPr>
        <w:spacing w:after="60" w:line="240" w:lineRule="auto"/>
        <w:jc w:val="center"/>
        <w:rPr>
          <w:rFonts w:cs="Arial"/>
          <w:szCs w:val="20"/>
        </w:rPr>
      </w:pPr>
      <w:r>
        <w:rPr>
          <w:rFonts w:cs="Arial"/>
          <w:noProof/>
          <w:szCs w:val="20"/>
        </w:rPr>
        <w:drawing>
          <wp:inline distT="0" distB="0" distL="0" distR="0" wp14:anchorId="4D058A9C" wp14:editId="6173A6CF">
            <wp:extent cx="6279515" cy="2828925"/>
            <wp:effectExtent l="0" t="0" r="698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9515" cy="2828925"/>
                    </a:xfrm>
                    <a:prstGeom prst="rect">
                      <a:avLst/>
                    </a:prstGeom>
                    <a:noFill/>
                  </pic:spPr>
                </pic:pic>
              </a:graphicData>
            </a:graphic>
          </wp:inline>
        </w:drawing>
      </w:r>
    </w:p>
    <w:p w14:paraId="57970D89" w14:textId="77777777" w:rsidR="001F41CA" w:rsidRPr="00C7401D" w:rsidRDefault="001F41CA" w:rsidP="001F41CA">
      <w:pPr>
        <w:spacing w:line="240" w:lineRule="auto"/>
        <w:ind w:left="340"/>
        <w:rPr>
          <w:rFonts w:cs="Arial"/>
          <w:i/>
          <w:sz w:val="18"/>
          <w:szCs w:val="18"/>
        </w:rPr>
      </w:pPr>
      <w:r w:rsidRPr="00C7401D">
        <w:rPr>
          <w:i/>
          <w:noProof/>
          <w:sz w:val="18"/>
          <w:szCs w:val="18"/>
        </w:rPr>
        <w:t xml:space="preserve">Zdroj: </w:t>
      </w:r>
      <w:r>
        <w:rPr>
          <w:i/>
          <w:noProof/>
          <w:sz w:val="18"/>
          <w:szCs w:val="18"/>
        </w:rPr>
        <w:t>ČSÚ</w:t>
      </w:r>
    </w:p>
    <w:p w14:paraId="7A7E4D5C" w14:textId="3C6967DF" w:rsidR="00052230" w:rsidRPr="000B7034" w:rsidRDefault="00052230" w:rsidP="00052230">
      <w:pPr>
        <w:spacing w:before="240" w:after="60" w:line="240" w:lineRule="auto"/>
        <w:jc w:val="center"/>
        <w:rPr>
          <w:b/>
          <w:noProof/>
        </w:rPr>
      </w:pPr>
      <w:r w:rsidRPr="000B7034">
        <w:rPr>
          <w:b/>
          <w:noProof/>
        </w:rPr>
        <w:t xml:space="preserve">Graf </w:t>
      </w:r>
      <w:r>
        <w:rPr>
          <w:b/>
          <w:noProof/>
        </w:rPr>
        <w:t>14</w:t>
      </w:r>
      <w:r w:rsidRPr="000B7034">
        <w:rPr>
          <w:b/>
          <w:noProof/>
        </w:rPr>
        <w:t xml:space="preserve">: </w:t>
      </w:r>
      <w:r>
        <w:rPr>
          <w:b/>
          <w:noProof/>
        </w:rPr>
        <w:t xml:space="preserve">Schopnost domácností vyjít se svými příjmy ve vybraných letech </w:t>
      </w:r>
      <w:r>
        <w:rPr>
          <w:b/>
          <w:noProof/>
        </w:rPr>
        <w:br/>
        <w:t>podle typu domácnosti v roce 2019</w:t>
      </w:r>
    </w:p>
    <w:p w14:paraId="1F5728E3" w14:textId="4E7C424D" w:rsidR="00715FD6" w:rsidRDefault="00011B3B" w:rsidP="00052230">
      <w:pPr>
        <w:spacing w:after="0" w:line="276" w:lineRule="auto"/>
        <w:jc w:val="center"/>
        <w:rPr>
          <w:rFonts w:cs="Arial"/>
          <w:szCs w:val="20"/>
        </w:rPr>
      </w:pPr>
      <w:r>
        <w:rPr>
          <w:rFonts w:cs="Arial"/>
          <w:noProof/>
          <w:szCs w:val="20"/>
        </w:rPr>
        <w:drawing>
          <wp:inline distT="0" distB="0" distL="0" distR="0" wp14:anchorId="096CEB1D" wp14:editId="03AB2C0F">
            <wp:extent cx="5669915" cy="3042285"/>
            <wp:effectExtent l="0" t="0" r="6985" b="571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9915" cy="3042285"/>
                    </a:xfrm>
                    <a:prstGeom prst="rect">
                      <a:avLst/>
                    </a:prstGeom>
                    <a:noFill/>
                  </pic:spPr>
                </pic:pic>
              </a:graphicData>
            </a:graphic>
          </wp:inline>
        </w:drawing>
      </w:r>
    </w:p>
    <w:p w14:paraId="547F6BFE" w14:textId="77777777" w:rsidR="001F41CA" w:rsidRPr="00C7401D" w:rsidRDefault="001F41CA" w:rsidP="005C04EF">
      <w:pPr>
        <w:spacing w:line="240" w:lineRule="auto"/>
        <w:ind w:left="567"/>
        <w:rPr>
          <w:rFonts w:cs="Arial"/>
          <w:i/>
          <w:sz w:val="18"/>
          <w:szCs w:val="18"/>
        </w:rPr>
      </w:pPr>
      <w:r w:rsidRPr="00C7401D">
        <w:rPr>
          <w:i/>
          <w:noProof/>
          <w:sz w:val="18"/>
          <w:szCs w:val="18"/>
        </w:rPr>
        <w:t xml:space="preserve">Zdroj: </w:t>
      </w:r>
      <w:r>
        <w:rPr>
          <w:i/>
          <w:noProof/>
          <w:sz w:val="18"/>
          <w:szCs w:val="18"/>
        </w:rPr>
        <w:t>ČSÚ</w:t>
      </w:r>
    </w:p>
    <w:p w14:paraId="5EA363A7" w14:textId="4F0D74FF" w:rsidR="00B9565B" w:rsidRPr="008E7FAA" w:rsidRDefault="00B9565B" w:rsidP="002B65FB">
      <w:pPr>
        <w:spacing w:after="360" w:line="276" w:lineRule="auto"/>
        <w:jc w:val="both"/>
        <w:rPr>
          <w:rFonts w:cs="Arial"/>
          <w:szCs w:val="20"/>
        </w:rPr>
      </w:pPr>
      <w:r w:rsidRPr="008E7FAA">
        <w:rPr>
          <w:rFonts w:cs="Arial"/>
          <w:szCs w:val="20"/>
        </w:rPr>
        <w:lastRenderedPageBreak/>
        <w:t>Nejvyšší podíl domácností, které se svými příjmy vycházely s velkými o</w:t>
      </w:r>
      <w:r w:rsidR="00D92946" w:rsidRPr="008E7FAA">
        <w:rPr>
          <w:rFonts w:cs="Arial"/>
          <w:szCs w:val="20"/>
        </w:rPr>
        <w:t>btížemi nebo s obtížemi, byla u </w:t>
      </w:r>
      <w:r w:rsidRPr="008E7FAA">
        <w:rPr>
          <w:rFonts w:cs="Arial"/>
          <w:szCs w:val="20"/>
        </w:rPr>
        <w:t>domá</w:t>
      </w:r>
      <w:r w:rsidR="00826326">
        <w:rPr>
          <w:rFonts w:cs="Arial"/>
          <w:szCs w:val="20"/>
        </w:rPr>
        <w:t>cností nezaměstnaných (49,5 %).</w:t>
      </w:r>
      <w:r w:rsidRPr="008E7FAA">
        <w:rPr>
          <w:rFonts w:cs="Arial"/>
          <w:szCs w:val="20"/>
        </w:rPr>
        <w:t xml:space="preserve"> Z hlediska typu domácnosti vycházely s příjmy nejhůře domácnosti tvořené samotným rodičem s jedním či více dětmi a osamělé ženy důchodkyně.</w:t>
      </w:r>
    </w:p>
    <w:p w14:paraId="3746C6D8" w14:textId="364F7E6D" w:rsidR="00715FD6" w:rsidRPr="008E7FAA" w:rsidRDefault="00715FD6" w:rsidP="00271D34">
      <w:pPr>
        <w:spacing w:line="276" w:lineRule="auto"/>
        <w:jc w:val="both"/>
        <w:rPr>
          <w:rFonts w:cs="Arial"/>
          <w:b/>
          <w:szCs w:val="20"/>
        </w:rPr>
      </w:pPr>
      <w:r w:rsidRPr="008E7FAA">
        <w:rPr>
          <w:rFonts w:cs="Arial"/>
          <w:b/>
          <w:szCs w:val="20"/>
        </w:rPr>
        <w:t>Příjmová chudoba</w:t>
      </w:r>
    </w:p>
    <w:p w14:paraId="314714A0" w14:textId="0A12B818" w:rsidR="00715FD6" w:rsidRPr="008E7FAA" w:rsidRDefault="00715FD6" w:rsidP="002B65FB">
      <w:pPr>
        <w:spacing w:after="360" w:line="276" w:lineRule="auto"/>
        <w:jc w:val="both"/>
        <w:rPr>
          <w:rFonts w:cs="Arial"/>
          <w:szCs w:val="20"/>
        </w:rPr>
      </w:pPr>
      <w:r w:rsidRPr="008E7FAA">
        <w:rPr>
          <w:rFonts w:cs="Arial"/>
          <w:szCs w:val="20"/>
        </w:rPr>
        <w:t xml:space="preserve">Podíl osob v domácnostech, které svými příjmy nedosahují na stanovenou výši příjmů, udává indikátor míry ohrožení příjmovou chudobou. Hranice ohrožení příjmovou chudobou vychází z příjmového rozložení v zemi a je stanovena jako 60 % mediánu národního </w:t>
      </w:r>
      <w:proofErr w:type="spellStart"/>
      <w:r w:rsidRPr="008E7FAA">
        <w:rPr>
          <w:rFonts w:cs="Arial"/>
          <w:szCs w:val="20"/>
        </w:rPr>
        <w:t>ekvivalizovaného</w:t>
      </w:r>
      <w:proofErr w:type="spellEnd"/>
      <w:r w:rsidRPr="008E7FAA">
        <w:rPr>
          <w:rFonts w:cs="Arial"/>
          <w:szCs w:val="20"/>
        </w:rPr>
        <w:t xml:space="preserve"> disponibilního příjmu. V roce 2019 činila hranice 12 818 Kč za měsíc, tedy 153 811 Kč za rok. Tato částka představuje hranici pro domácnost jednotlivce. Míra ohrožení příjmovou chudobou i přes rostoucí peněžní příjmy domácností v posledních dvou letech mírně vzrostla. V roce 2019 dosáhla hodnoty 10,1 %, takže se týkala 1 057 300 osob v České republice. Ve skupině seniorů starších 65 let byl podíl osob s příjmem pod hranicí chudoby 16,6 %. Domácností ohrožených příjmovou chudobou mezi jednotlivci nad 65 let bylo v roce 2019 už 41,2 %, přitom před pěti lety v roce 2014 to bylo jen 14,5 %. Právě domácnosti jednotlivců nad 65 let tvoří největší počet přírůstků ohrožených příjmovou chudobou za poslední dva roky. Mezi nimi pak dominují domácnosti osamělých nepracujících důchodců – většinou žen.</w:t>
      </w:r>
    </w:p>
    <w:p w14:paraId="050155B5" w14:textId="77777777" w:rsidR="00715FD6" w:rsidRPr="008E7FAA" w:rsidRDefault="00715FD6" w:rsidP="00271D34">
      <w:pPr>
        <w:spacing w:line="276" w:lineRule="auto"/>
        <w:jc w:val="both"/>
        <w:rPr>
          <w:rFonts w:cs="Arial"/>
          <w:b/>
          <w:szCs w:val="20"/>
        </w:rPr>
      </w:pPr>
      <w:r w:rsidRPr="008E7FAA">
        <w:rPr>
          <w:rFonts w:cs="Arial"/>
          <w:b/>
          <w:szCs w:val="20"/>
        </w:rPr>
        <w:t>Materiální a sociální deprivace</w:t>
      </w:r>
    </w:p>
    <w:p w14:paraId="037FD422" w14:textId="77777777" w:rsidR="00B9565B" w:rsidRPr="008E7FAA" w:rsidRDefault="00715FD6" w:rsidP="00BD7988">
      <w:pPr>
        <w:spacing w:after="360" w:line="276" w:lineRule="auto"/>
        <w:jc w:val="both"/>
        <w:rPr>
          <w:rFonts w:eastAsia="Calibri" w:cs="Arial"/>
          <w:szCs w:val="20"/>
        </w:rPr>
      </w:pPr>
      <w:r w:rsidRPr="008E7FAA">
        <w:rPr>
          <w:rFonts w:eastAsia="Calibri" w:cs="Arial"/>
          <w:szCs w:val="20"/>
        </w:rPr>
        <w:t xml:space="preserve">Aby ukazatel deprivace lépe zohlednil aktuální finanční a materiální situaci v jednotlivých domácnostech, začaly jednotlivé země na doporučení Eurostatu při šetření využívat upravenou metodiku, která počítá s rozšířeným souborem sledovaných položek. </w:t>
      </w:r>
    </w:p>
    <w:p w14:paraId="7A839DB7" w14:textId="40B1AC97" w:rsidR="002B65FB" w:rsidRPr="000B7034" w:rsidRDefault="002B65FB" w:rsidP="002B65FB">
      <w:pPr>
        <w:spacing w:before="240" w:after="60" w:line="240" w:lineRule="auto"/>
        <w:jc w:val="center"/>
        <w:rPr>
          <w:b/>
          <w:noProof/>
        </w:rPr>
      </w:pPr>
      <w:r w:rsidRPr="000B7034">
        <w:rPr>
          <w:b/>
          <w:noProof/>
        </w:rPr>
        <w:t xml:space="preserve">Graf </w:t>
      </w:r>
      <w:r>
        <w:rPr>
          <w:b/>
          <w:noProof/>
        </w:rPr>
        <w:t>15</w:t>
      </w:r>
      <w:r w:rsidRPr="000B7034">
        <w:rPr>
          <w:b/>
          <w:noProof/>
        </w:rPr>
        <w:t xml:space="preserve">: </w:t>
      </w:r>
      <w:r>
        <w:rPr>
          <w:b/>
          <w:noProof/>
        </w:rPr>
        <w:t xml:space="preserve">Míra materiální a sociální deprivace podle typu </w:t>
      </w:r>
      <w:r>
        <w:rPr>
          <w:b/>
          <w:noProof/>
        </w:rPr>
        <w:br/>
        <w:t>domácnosti za rok 2019</w:t>
      </w:r>
    </w:p>
    <w:p w14:paraId="40B95182" w14:textId="5FB51805" w:rsidR="00B9565B" w:rsidRDefault="00011B3B" w:rsidP="005C04EF">
      <w:pPr>
        <w:spacing w:after="60" w:line="240" w:lineRule="auto"/>
        <w:jc w:val="center"/>
        <w:rPr>
          <w:rFonts w:cs="Arial"/>
          <w:szCs w:val="20"/>
        </w:rPr>
      </w:pPr>
      <w:r>
        <w:rPr>
          <w:rFonts w:cs="Arial"/>
          <w:noProof/>
          <w:szCs w:val="20"/>
        </w:rPr>
        <w:drawing>
          <wp:inline distT="0" distB="0" distL="0" distR="0" wp14:anchorId="1D5C4679" wp14:editId="47415CCB">
            <wp:extent cx="5236845" cy="2773680"/>
            <wp:effectExtent l="0" t="0" r="1905" b="762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6845" cy="2773680"/>
                    </a:xfrm>
                    <a:prstGeom prst="rect">
                      <a:avLst/>
                    </a:prstGeom>
                    <a:noFill/>
                  </pic:spPr>
                </pic:pic>
              </a:graphicData>
            </a:graphic>
          </wp:inline>
        </w:drawing>
      </w:r>
    </w:p>
    <w:p w14:paraId="50659F86" w14:textId="77777777" w:rsidR="005C04EF" w:rsidRPr="00C7401D" w:rsidRDefault="005C04EF" w:rsidP="005C04EF">
      <w:pPr>
        <w:spacing w:line="240" w:lineRule="auto"/>
        <w:ind w:left="1021"/>
        <w:rPr>
          <w:rFonts w:cs="Arial"/>
          <w:i/>
          <w:sz w:val="18"/>
          <w:szCs w:val="18"/>
        </w:rPr>
      </w:pPr>
      <w:r w:rsidRPr="00C7401D">
        <w:rPr>
          <w:i/>
          <w:noProof/>
          <w:sz w:val="18"/>
          <w:szCs w:val="18"/>
        </w:rPr>
        <w:t xml:space="preserve">Zdroj: </w:t>
      </w:r>
      <w:r>
        <w:rPr>
          <w:i/>
          <w:noProof/>
          <w:sz w:val="18"/>
          <w:szCs w:val="18"/>
        </w:rPr>
        <w:t>ČSÚ</w:t>
      </w:r>
    </w:p>
    <w:p w14:paraId="38EDD31D" w14:textId="62E29E8A" w:rsidR="00715FD6" w:rsidRPr="008E7FAA" w:rsidRDefault="00715FD6" w:rsidP="00271D34">
      <w:pPr>
        <w:spacing w:line="276" w:lineRule="auto"/>
        <w:jc w:val="both"/>
        <w:rPr>
          <w:rFonts w:eastAsia="Calibri" w:cs="Arial"/>
          <w:szCs w:val="20"/>
        </w:rPr>
      </w:pPr>
      <w:r w:rsidRPr="008E7FAA">
        <w:rPr>
          <w:rFonts w:eastAsia="Calibri" w:cs="Arial"/>
          <w:szCs w:val="20"/>
        </w:rPr>
        <w:t>Těch je podle nových pravidel místo devíti třináct a za materiálně a sociálně deprivovanou je považována osoba, jejíž domácnost si nemůže z finančních důvodů dovolit pět a více z těchto třinácti položek. Jejich seznam kromě některých položek původní materiální deprivace zahrnuje pořízení nového nábytku, věci pro osobní potřebu (obuv, nové oblečení), kontakt s přáteli či příbuznými, placené volnočasové aktivity, útratu určité finanční částky pro vlastní potřebu a připojení k internetu. V roce 2019 dosáhl tento ukazatel hodnoty 5,3 %. Nejohroženější skupinou jsou domácnosti tvořené samotným r</w:t>
      </w:r>
      <w:r w:rsidR="00D92946" w:rsidRPr="008E7FAA">
        <w:rPr>
          <w:rFonts w:eastAsia="Calibri" w:cs="Arial"/>
          <w:szCs w:val="20"/>
        </w:rPr>
        <w:t>odičem s jedním či více dětmi a </w:t>
      </w:r>
      <w:r w:rsidRPr="008E7FAA">
        <w:rPr>
          <w:rFonts w:eastAsia="Calibri" w:cs="Arial"/>
          <w:szCs w:val="20"/>
        </w:rPr>
        <w:t xml:space="preserve">jednotlivci ve věku 65 let a starší. U nich se míra materiální deprivace blížila v roce 2019 deseti procentům. </w:t>
      </w:r>
    </w:p>
    <w:p w14:paraId="60EFABD2" w14:textId="77777777" w:rsidR="00715FD6" w:rsidRPr="008E7FAA" w:rsidRDefault="00715FD6" w:rsidP="00826326">
      <w:pPr>
        <w:shd w:val="clear" w:color="auto" w:fill="FFFFFF"/>
        <w:spacing w:line="276" w:lineRule="auto"/>
        <w:jc w:val="both"/>
        <w:rPr>
          <w:rFonts w:cs="Arial"/>
          <w:color w:val="000000"/>
          <w:szCs w:val="20"/>
        </w:rPr>
      </w:pPr>
      <w:r w:rsidRPr="008E7FAA">
        <w:rPr>
          <w:rFonts w:cs="Arial"/>
          <w:b/>
          <w:color w:val="000000"/>
          <w:szCs w:val="20"/>
        </w:rPr>
        <w:lastRenderedPageBreak/>
        <w:t>Senioři a náklady na bydlení</w:t>
      </w:r>
      <w:r w:rsidRPr="008E7FAA">
        <w:rPr>
          <w:rFonts w:cs="Arial"/>
          <w:color w:val="000000"/>
          <w:szCs w:val="20"/>
        </w:rPr>
        <w:t xml:space="preserve"> </w:t>
      </w:r>
    </w:p>
    <w:p w14:paraId="30C3D0A9" w14:textId="2F2FA472" w:rsidR="00715FD6" w:rsidRPr="008E7FAA" w:rsidRDefault="00715FD6" w:rsidP="00271D34">
      <w:pPr>
        <w:spacing w:line="276" w:lineRule="auto"/>
        <w:jc w:val="both"/>
        <w:rPr>
          <w:rFonts w:cs="Arial"/>
          <w:szCs w:val="20"/>
        </w:rPr>
      </w:pPr>
      <w:r w:rsidRPr="008E7FAA">
        <w:rPr>
          <w:rFonts w:cs="Arial"/>
          <w:szCs w:val="20"/>
        </w:rPr>
        <w:t xml:space="preserve">Náklady spojené s bydlením bývají zpravidla pro domácnosti nejvýraznější položkou rodinného rozpočtu. </w:t>
      </w:r>
    </w:p>
    <w:p w14:paraId="6328BCC8" w14:textId="24191F01" w:rsidR="00715FD6" w:rsidRPr="008E7FAA" w:rsidRDefault="00715FD6" w:rsidP="00271D34">
      <w:pPr>
        <w:spacing w:line="276" w:lineRule="auto"/>
        <w:jc w:val="both"/>
        <w:rPr>
          <w:rFonts w:cs="Arial"/>
          <w:szCs w:val="20"/>
        </w:rPr>
      </w:pPr>
      <w:r w:rsidRPr="008E7FAA">
        <w:rPr>
          <w:rFonts w:cs="Arial"/>
          <w:szCs w:val="20"/>
        </w:rPr>
        <w:t>Za rok 2019 činily průměrné měsíční výdaje domácností za bydlení 5 799 Kč. Nejmenší částku na bydlení měsíčně (4 363 Kč) vynaložily domácnosti jednotlivců starších 65 let. Do těchto výdajů se zahrnuje nájemné (v pronajatých bytech), resp. úhrada za užívání bytu (v bytech v osobním vlastnictví a družstevních bytech), platby za dodávky energií (elektřina, plyn, teplo a teplá voda), vodné a stočné, odvoz odpadků, paliva a ostatní služby spojené s bydlením. Naopak do kategorie výdajů za bydlení nespadají náklady na pořízení bydlení, splátky hypotéky či úvěru na dům/byt ani náklady na</w:t>
      </w:r>
      <w:r w:rsidR="00D92946" w:rsidRPr="008E7FAA">
        <w:rPr>
          <w:rFonts w:cs="Arial"/>
          <w:szCs w:val="20"/>
        </w:rPr>
        <w:t xml:space="preserve"> běžnou údržbu či rekonstrukci.</w:t>
      </w:r>
    </w:p>
    <w:p w14:paraId="7D8779AC" w14:textId="5D2A487F" w:rsidR="00B9565B" w:rsidRPr="008E7FAA" w:rsidRDefault="00715FD6" w:rsidP="00271D34">
      <w:pPr>
        <w:spacing w:line="276" w:lineRule="auto"/>
        <w:jc w:val="both"/>
        <w:rPr>
          <w:rFonts w:cs="Arial"/>
          <w:szCs w:val="20"/>
        </w:rPr>
      </w:pPr>
      <w:r w:rsidRPr="008E7FAA">
        <w:rPr>
          <w:rFonts w:cs="Arial"/>
          <w:szCs w:val="20"/>
        </w:rPr>
        <w:t>Obecně se zlepšuje vnímání těchto nákladů jakožto zátěže rodinného rozpočtu. Zatímco v roce 2018 vnímalo náklady na bydlení jako velkou zátěž 18,9 % domácností, v roce 2019 jen 16,6 % domácností. Podíl domácností, které vůbec nepovažovaly náklady na bydlení za zátěž, opět meziročně vzrostl, a to na 12,9 %. Naproti tomu více než pětina jednotlivců starších 65 let (konkrétně 21,4 %) považuje své náklady na bydlení za zátěž.</w:t>
      </w:r>
      <w:r w:rsidR="00B9565B" w:rsidRPr="008E7FAA">
        <w:rPr>
          <w:rFonts w:cs="Arial"/>
          <w:szCs w:val="20"/>
        </w:rPr>
        <w:t xml:space="preserve"> </w:t>
      </w:r>
    </w:p>
    <w:p w14:paraId="2C1263EC" w14:textId="5C8A0310" w:rsidR="001B7679" w:rsidRPr="000B7034" w:rsidRDefault="001B7679" w:rsidP="001B7679">
      <w:pPr>
        <w:spacing w:before="240" w:after="60" w:line="240" w:lineRule="auto"/>
        <w:jc w:val="center"/>
        <w:rPr>
          <w:b/>
          <w:noProof/>
        </w:rPr>
      </w:pPr>
      <w:r w:rsidRPr="000B7034">
        <w:rPr>
          <w:b/>
          <w:noProof/>
        </w:rPr>
        <w:t xml:space="preserve">Graf </w:t>
      </w:r>
      <w:r>
        <w:rPr>
          <w:b/>
          <w:noProof/>
        </w:rPr>
        <w:t xml:space="preserve">16: Výdaje za bydlení vyšší než 40 % příjmů podle </w:t>
      </w:r>
      <w:r>
        <w:rPr>
          <w:b/>
          <w:noProof/>
        </w:rPr>
        <w:br/>
        <w:t>typu domácnosti v roce 2019</w:t>
      </w:r>
    </w:p>
    <w:p w14:paraId="144E60F2" w14:textId="1BC1AF66" w:rsidR="00B9565B" w:rsidRDefault="00011B3B" w:rsidP="005C04EF">
      <w:pPr>
        <w:spacing w:after="60" w:line="240" w:lineRule="auto"/>
        <w:jc w:val="center"/>
        <w:rPr>
          <w:rFonts w:cs="Arial"/>
          <w:szCs w:val="20"/>
        </w:rPr>
      </w:pPr>
      <w:r>
        <w:rPr>
          <w:rFonts w:cs="Arial"/>
          <w:noProof/>
          <w:szCs w:val="20"/>
        </w:rPr>
        <w:drawing>
          <wp:inline distT="0" distB="0" distL="0" distR="0" wp14:anchorId="37243B47" wp14:editId="17023D9F">
            <wp:extent cx="4298315" cy="3230880"/>
            <wp:effectExtent l="0" t="0" r="6985" b="762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8315" cy="3230880"/>
                    </a:xfrm>
                    <a:prstGeom prst="rect">
                      <a:avLst/>
                    </a:prstGeom>
                    <a:noFill/>
                  </pic:spPr>
                </pic:pic>
              </a:graphicData>
            </a:graphic>
          </wp:inline>
        </w:drawing>
      </w:r>
    </w:p>
    <w:p w14:paraId="54F2BA0F" w14:textId="77777777" w:rsidR="005C04EF" w:rsidRPr="00C7401D" w:rsidRDefault="005C04EF" w:rsidP="005C04EF">
      <w:pPr>
        <w:spacing w:line="240" w:lineRule="auto"/>
        <w:ind w:left="1644"/>
        <w:rPr>
          <w:rFonts w:cs="Arial"/>
          <w:i/>
          <w:sz w:val="18"/>
          <w:szCs w:val="18"/>
        </w:rPr>
      </w:pPr>
      <w:r w:rsidRPr="00C7401D">
        <w:rPr>
          <w:i/>
          <w:noProof/>
          <w:sz w:val="18"/>
          <w:szCs w:val="18"/>
        </w:rPr>
        <w:t xml:space="preserve">Zdroj: </w:t>
      </w:r>
      <w:r>
        <w:rPr>
          <w:i/>
          <w:noProof/>
          <w:sz w:val="18"/>
          <w:szCs w:val="18"/>
        </w:rPr>
        <w:t>ČSÚ</w:t>
      </w:r>
    </w:p>
    <w:p w14:paraId="0AA3F1A5" w14:textId="521125FF" w:rsidR="00715FD6" w:rsidRPr="008E7FAA" w:rsidRDefault="00715FD6" w:rsidP="00271D34">
      <w:pPr>
        <w:pStyle w:val="Zkladntext"/>
        <w:spacing w:after="160" w:line="276" w:lineRule="auto"/>
        <w:jc w:val="both"/>
        <w:rPr>
          <w:rFonts w:cs="Arial"/>
          <w:szCs w:val="20"/>
        </w:rPr>
      </w:pPr>
      <w:r w:rsidRPr="008E7FAA">
        <w:rPr>
          <w:rFonts w:cs="Arial"/>
          <w:szCs w:val="20"/>
        </w:rPr>
        <w:t xml:space="preserve">Podíl příjmů, které domácnosti vynakládaly na bydlení, se během posledních pěti let snižoval, neboť příjmy domácností rostly v průměru rychleji než jejich náklady na bydlení. V roce 2019 </w:t>
      </w:r>
      <w:r w:rsidR="00D92946" w:rsidRPr="008E7FAA">
        <w:rPr>
          <w:rFonts w:cs="Arial"/>
          <w:szCs w:val="20"/>
        </w:rPr>
        <w:t>tento podíl činil průměrně 15,2 </w:t>
      </w:r>
      <w:r w:rsidRPr="008E7FAA">
        <w:rPr>
          <w:rFonts w:cs="Arial"/>
          <w:szCs w:val="20"/>
        </w:rPr>
        <w:t>% (meziročně klesl o 0,7 p.</w:t>
      </w:r>
      <w:r w:rsidR="00C37591">
        <w:rPr>
          <w:rFonts w:cs="Arial"/>
          <w:szCs w:val="20"/>
        </w:rPr>
        <w:t xml:space="preserve"> </w:t>
      </w:r>
      <w:r w:rsidRPr="008E7FAA">
        <w:rPr>
          <w:rFonts w:cs="Arial"/>
          <w:szCs w:val="20"/>
        </w:rPr>
        <w:t>b.), nicméně mezi jednotlivými typy domácností jsou významné rozdíly, které se odvíjejí zejména od počtu členů domácnosti a toho, zda žijí ve vlastním nebo pronajatém bytě. Jednotlivci žijící v malometrážních bytech sice platí za bydlení obecně méně než je průměr, avšak poměr těchto nákladů vůči jejich čistým příjmům u osob starších 65 let překonal hranici 30 procent.</w:t>
      </w:r>
    </w:p>
    <w:p w14:paraId="4E79EC8E" w14:textId="77777777" w:rsidR="00715FD6" w:rsidRPr="008E7FAA" w:rsidRDefault="00715FD6" w:rsidP="00271D34">
      <w:pPr>
        <w:spacing w:line="276" w:lineRule="auto"/>
        <w:jc w:val="both"/>
        <w:rPr>
          <w:rFonts w:cs="Arial"/>
          <w:szCs w:val="20"/>
        </w:rPr>
      </w:pPr>
      <w:r w:rsidRPr="008E7FAA">
        <w:rPr>
          <w:rFonts w:cs="Arial"/>
          <w:szCs w:val="20"/>
        </w:rPr>
        <w:t xml:space="preserve">Pro zhruba sedm procent českých domácností představují výdaje na bydlení včetně energií více než 40 % z jejich čistých peněžních příjmů. Jednoznačně nejvíce, rovná čtvrtina, je takových domácností mezi jednotlivci staršími 65 let. Naopak třetina úplných rodin s dětmi a čtvrtina dvoučlenných s alespoň jedním pracujícím průměrně měsíčně vydává na bydlení méně než 10 % ze svých příjmů. U osamělých důchodců se takto příznivý poměr mezi příjmy a náklady na bydlení vyskytuje pouze výjimečně. </w:t>
      </w:r>
    </w:p>
    <w:p w14:paraId="26030460" w14:textId="1F266BF6" w:rsidR="00715FD6" w:rsidRPr="008E7FAA" w:rsidRDefault="00715FD6" w:rsidP="003B7699">
      <w:pPr>
        <w:spacing w:after="360" w:line="276" w:lineRule="auto"/>
        <w:jc w:val="both"/>
        <w:rPr>
          <w:rFonts w:cs="Arial"/>
          <w:szCs w:val="20"/>
        </w:rPr>
      </w:pPr>
      <w:r w:rsidRPr="008E7FAA">
        <w:rPr>
          <w:rFonts w:cs="Arial"/>
          <w:szCs w:val="20"/>
        </w:rPr>
        <w:lastRenderedPageBreak/>
        <w:t xml:space="preserve">V domácnostech, které pociťují zátěž náklady na bydlení, žilo v roce 2019 necelých 7 % osob (715 tisíc). </w:t>
      </w:r>
      <w:r w:rsidRPr="008E7FAA">
        <w:rPr>
          <w:rFonts w:cs="Arial"/>
          <w:bCs/>
          <w:szCs w:val="20"/>
        </w:rPr>
        <w:t xml:space="preserve">Přitom 57 procent </w:t>
      </w:r>
      <w:r w:rsidRPr="008E7FAA">
        <w:rPr>
          <w:rFonts w:cs="Arial"/>
          <w:szCs w:val="20"/>
        </w:rPr>
        <w:t xml:space="preserve">z nich (410 tis.) </w:t>
      </w:r>
      <w:r w:rsidRPr="008E7FAA">
        <w:rPr>
          <w:rFonts w:cs="Arial"/>
          <w:bCs/>
          <w:szCs w:val="20"/>
        </w:rPr>
        <w:t>bydlí v pronajatém bytě</w:t>
      </w:r>
      <w:r w:rsidRPr="008E7FAA">
        <w:rPr>
          <w:rFonts w:cs="Arial"/>
          <w:szCs w:val="20"/>
        </w:rPr>
        <w:t xml:space="preserve">. Nejvíce seniorů, </w:t>
      </w:r>
      <w:r w:rsidR="00127C21" w:rsidRPr="008E7FAA">
        <w:rPr>
          <w:rFonts w:cs="Arial"/>
          <w:szCs w:val="20"/>
        </w:rPr>
        <w:t>konkrétně 35 %, žije v bytech o </w:t>
      </w:r>
      <w:r w:rsidRPr="008E7FAA">
        <w:rPr>
          <w:rFonts w:cs="Arial"/>
          <w:szCs w:val="20"/>
        </w:rPr>
        <w:t>velikosti 60 – 80 metrů čtverečních. Dvaadvacet procent obývá byty o velikosti od</w:t>
      </w:r>
      <w:r w:rsidRPr="008E7FAA">
        <w:rPr>
          <w:rFonts w:cs="Arial"/>
          <w:smallCaps/>
          <w:szCs w:val="20"/>
        </w:rPr>
        <w:t xml:space="preserve"> 40 </w:t>
      </w:r>
      <w:r w:rsidRPr="008E7FAA">
        <w:rPr>
          <w:rFonts w:cs="Arial"/>
          <w:szCs w:val="20"/>
        </w:rPr>
        <w:t xml:space="preserve">do 60 čtverečních metrů a 8 % z nich žije v malometrážních bytech do 40 metrů čtverečních. </w:t>
      </w:r>
    </w:p>
    <w:p w14:paraId="77702FFA" w14:textId="77777777" w:rsidR="00435CF7" w:rsidRPr="008E7FAA" w:rsidRDefault="00435CF7" w:rsidP="00271D34">
      <w:pPr>
        <w:spacing w:line="276" w:lineRule="auto"/>
        <w:jc w:val="both"/>
        <w:rPr>
          <w:rFonts w:cs="Arial"/>
          <w:b/>
          <w:szCs w:val="20"/>
        </w:rPr>
      </w:pPr>
      <w:r w:rsidRPr="008E7FAA">
        <w:rPr>
          <w:rFonts w:cs="Arial"/>
          <w:b/>
          <w:szCs w:val="20"/>
        </w:rPr>
        <w:t>Mezinárodní srovnání</w:t>
      </w:r>
    </w:p>
    <w:p w14:paraId="25ED932A" w14:textId="61DFBDB7" w:rsidR="00435CF7" w:rsidRPr="008E7FAA" w:rsidRDefault="00435CF7" w:rsidP="00271D34">
      <w:pPr>
        <w:spacing w:line="276" w:lineRule="auto"/>
        <w:jc w:val="both"/>
        <w:rPr>
          <w:rFonts w:cs="Arial"/>
          <w:szCs w:val="20"/>
        </w:rPr>
      </w:pPr>
      <w:r w:rsidRPr="008E7FAA">
        <w:rPr>
          <w:rFonts w:cs="Arial"/>
          <w:szCs w:val="20"/>
        </w:rPr>
        <w:t xml:space="preserve">A jak jsou na tom </w:t>
      </w:r>
      <w:r w:rsidR="00FB51FE">
        <w:rPr>
          <w:rFonts w:cs="Arial"/>
          <w:szCs w:val="20"/>
        </w:rPr>
        <w:t xml:space="preserve">s životní úrovní </w:t>
      </w:r>
      <w:r w:rsidRPr="008E7FAA">
        <w:rPr>
          <w:rFonts w:cs="Arial"/>
          <w:szCs w:val="20"/>
        </w:rPr>
        <w:t xml:space="preserve">tuzemští senioři v mezinárodním srovnání? Pokud zůstaneme u nákladů na bydlení ve vztahu k příjmům, počet příslušníků věkové skupiny nad 65 let, jejichž celkové náklady na bydlení překročily 40 % jejich disponibilních příjmů, byl v roce 2019 přibližně na úrovni průměru evropské osmadvacítky. Českých seniorů, kteří se vešli do kategorie vysokých nákladů na bydlení ve vztahu k příjmům, bylo v roce 2019 těsně nad deset procent (10,1 %). Průměr tehdy ještě 28 zemí Evropské unie byl o něco vyšší (10,4 %). Česká republika kopíruje trend většiny Evropy, kde podíl seniorů s vysokými náklady na bydlení ve vztahu k příjmům od roku 2013 trvale mírně klesal. V roce 2013 například dosahoval tento ukazatel hodnotu 14,3 % a v roce 2016 to bylo 12,2 %. </w:t>
      </w:r>
    </w:p>
    <w:p w14:paraId="333C4059" w14:textId="13098F3D" w:rsidR="00435CF7" w:rsidRPr="008E7FAA" w:rsidRDefault="00435CF7" w:rsidP="00826326">
      <w:pPr>
        <w:spacing w:line="276" w:lineRule="auto"/>
        <w:jc w:val="center"/>
        <w:rPr>
          <w:rFonts w:cs="Arial"/>
          <w:szCs w:val="20"/>
        </w:rPr>
      </w:pPr>
      <w:r w:rsidRPr="008E7FAA">
        <w:rPr>
          <w:rFonts w:cs="Arial"/>
          <w:b/>
          <w:szCs w:val="20"/>
        </w:rPr>
        <w:t xml:space="preserve">Obr. 1: Procentní podíl seniorů nad 65 let s náklady na bydlení vyššími než 40 % </w:t>
      </w:r>
      <w:r w:rsidR="00826326">
        <w:rPr>
          <w:rFonts w:cs="Arial"/>
          <w:b/>
          <w:szCs w:val="20"/>
        </w:rPr>
        <w:br/>
      </w:r>
      <w:r w:rsidRPr="008E7FAA">
        <w:rPr>
          <w:rFonts w:cs="Arial"/>
          <w:b/>
          <w:szCs w:val="20"/>
        </w:rPr>
        <w:t xml:space="preserve">jejich celkových příjmů v zemích Evropské unie </w:t>
      </w:r>
      <w:r w:rsidR="005C04EF">
        <w:rPr>
          <w:rFonts w:cs="Arial"/>
          <w:b/>
          <w:szCs w:val="20"/>
        </w:rPr>
        <w:t>za rok 2019</w:t>
      </w:r>
    </w:p>
    <w:p w14:paraId="297D5AD1" w14:textId="32F28F54" w:rsidR="00435CF7" w:rsidRDefault="00435CF7" w:rsidP="005C04EF">
      <w:pPr>
        <w:spacing w:after="60" w:line="240" w:lineRule="auto"/>
        <w:jc w:val="both"/>
        <w:rPr>
          <w:rFonts w:cs="Arial"/>
          <w:szCs w:val="20"/>
        </w:rPr>
      </w:pPr>
      <w:r w:rsidRPr="008E7FAA">
        <w:rPr>
          <w:rFonts w:cs="Arial"/>
          <w:noProof/>
          <w:szCs w:val="20"/>
        </w:rPr>
        <w:drawing>
          <wp:inline distT="0" distB="0" distL="0" distR="0" wp14:anchorId="74FE9043" wp14:editId="64F145B6">
            <wp:extent cx="5895975" cy="4352925"/>
            <wp:effectExtent l="0" t="0" r="9525" b="9525"/>
            <wp:docPr id="13" name="Obrázek 13" descr="C:\Users\pekis\Desktop\JÍRA\ČSÚ\Senioři 2020 obrá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kis\Desktop\JÍRA\ČSÚ\Senioři 2020 obráze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0931" cy="4356584"/>
                    </a:xfrm>
                    <a:prstGeom prst="rect">
                      <a:avLst/>
                    </a:prstGeom>
                    <a:noFill/>
                    <a:ln>
                      <a:noFill/>
                    </a:ln>
                  </pic:spPr>
                </pic:pic>
              </a:graphicData>
            </a:graphic>
          </wp:inline>
        </w:drawing>
      </w:r>
    </w:p>
    <w:p w14:paraId="43007D59" w14:textId="6EE28BC4" w:rsidR="005C04EF" w:rsidRPr="00C7401D" w:rsidRDefault="005C04EF" w:rsidP="005C04EF">
      <w:pPr>
        <w:spacing w:line="240" w:lineRule="auto"/>
        <w:ind w:left="113"/>
        <w:rPr>
          <w:rFonts w:cs="Arial"/>
          <w:i/>
          <w:sz w:val="18"/>
          <w:szCs w:val="18"/>
        </w:rPr>
      </w:pPr>
      <w:r w:rsidRPr="00C7401D">
        <w:rPr>
          <w:i/>
          <w:noProof/>
          <w:sz w:val="18"/>
          <w:szCs w:val="18"/>
        </w:rPr>
        <w:t xml:space="preserve">Zdroj: </w:t>
      </w:r>
      <w:r>
        <w:rPr>
          <w:i/>
          <w:noProof/>
          <w:sz w:val="18"/>
          <w:szCs w:val="18"/>
        </w:rPr>
        <w:t>Eurostat</w:t>
      </w:r>
    </w:p>
    <w:p w14:paraId="7224E5AA" w14:textId="078A3AE7" w:rsidR="00FB51FE" w:rsidRDefault="00FB51FE" w:rsidP="00826326">
      <w:pPr>
        <w:spacing w:line="276" w:lineRule="auto"/>
        <w:jc w:val="both"/>
        <w:rPr>
          <w:rFonts w:cs="Arial"/>
          <w:szCs w:val="20"/>
        </w:rPr>
      </w:pPr>
      <w:r w:rsidRPr="008E7FAA">
        <w:rPr>
          <w:rFonts w:cs="Arial"/>
          <w:szCs w:val="20"/>
        </w:rPr>
        <w:t xml:space="preserve">Jednoznačně nejvyšší podíl seniorů s vysokými náklady na bydlení vůči příjmům zaznamenávají v Evropské unii dlouhodobě Řecko a Bulharsko. Vysoké náklady na bydlení tam ve vztahu k příjmům přiznává více než čtvrtina seniorů </w:t>
      </w:r>
      <w:r w:rsidR="002A5FE8">
        <w:rPr>
          <w:rFonts w:cs="Arial"/>
          <w:szCs w:val="20"/>
        </w:rPr>
        <w:t>–</w:t>
      </w:r>
      <w:r w:rsidRPr="008E7FAA">
        <w:rPr>
          <w:rFonts w:cs="Arial"/>
          <w:szCs w:val="20"/>
        </w:rPr>
        <w:t xml:space="preserve"> v roce 2019 to bylo 27,6 %, resp. 25,8 %. Poměrně výrazně nad průměrem Evropské unie se drželo i Německo (20,4 %) či Dánsko (19,8 %), z </w:t>
      </w:r>
      <w:proofErr w:type="spellStart"/>
      <w:r w:rsidRPr="008E7FAA">
        <w:rPr>
          <w:rFonts w:cs="Arial"/>
          <w:szCs w:val="20"/>
        </w:rPr>
        <w:t>mimounijních</w:t>
      </w:r>
      <w:proofErr w:type="spellEnd"/>
      <w:r w:rsidRPr="008E7FAA">
        <w:rPr>
          <w:rFonts w:cs="Arial"/>
          <w:szCs w:val="20"/>
        </w:rPr>
        <w:t xml:space="preserve"> Švýcarsko (26,2</w:t>
      </w:r>
      <w:r w:rsidR="00826326">
        <w:rPr>
          <w:rFonts w:cs="Arial"/>
          <w:szCs w:val="20"/>
        </w:rPr>
        <w:t xml:space="preserve"> </w:t>
      </w:r>
      <w:r w:rsidRPr="008E7FAA">
        <w:rPr>
          <w:rFonts w:cs="Arial"/>
          <w:szCs w:val="20"/>
        </w:rPr>
        <w:t>%) a Srbsko (20 %). Naopak nejmenší podíl seniorů s drahým bydlením oproti příjmům byl mezi unijními z</w:t>
      </w:r>
      <w:r w:rsidR="00826326">
        <w:rPr>
          <w:rFonts w:cs="Arial"/>
          <w:szCs w:val="20"/>
        </w:rPr>
        <w:t>eměmi v roce 2019 na Kypru (0,9 </w:t>
      </w:r>
      <w:r w:rsidRPr="008E7FAA">
        <w:rPr>
          <w:rFonts w:cs="Arial"/>
          <w:szCs w:val="20"/>
        </w:rPr>
        <w:t>%). Následuje Malta s 1,2 % a Irsko (1,5 %).</w:t>
      </w:r>
    </w:p>
    <w:p w14:paraId="7D9182AB" w14:textId="3E8044D5" w:rsidR="00435CF7" w:rsidRPr="008E7FAA" w:rsidRDefault="00435CF7" w:rsidP="008E7FAA">
      <w:pPr>
        <w:spacing w:line="276" w:lineRule="auto"/>
        <w:jc w:val="both"/>
        <w:rPr>
          <w:rFonts w:cs="Arial"/>
          <w:szCs w:val="20"/>
        </w:rPr>
      </w:pPr>
      <w:r w:rsidRPr="008E7FAA">
        <w:rPr>
          <w:rFonts w:cs="Arial"/>
          <w:szCs w:val="20"/>
        </w:rPr>
        <w:lastRenderedPageBreak/>
        <w:t xml:space="preserve">Druhý pohled nabízí ukazatel ohrožení příjmovou chudobou, který udává počet osob, jejichž příjem nedosahuje alespoň 60 procent mediánu národního </w:t>
      </w:r>
      <w:proofErr w:type="spellStart"/>
      <w:r w:rsidRPr="008E7FAA">
        <w:rPr>
          <w:rFonts w:cs="Arial"/>
          <w:szCs w:val="20"/>
        </w:rPr>
        <w:t>ekvivalizovaného</w:t>
      </w:r>
      <w:proofErr w:type="spellEnd"/>
      <w:r w:rsidRPr="008E7FAA">
        <w:rPr>
          <w:rFonts w:cs="Arial"/>
          <w:szCs w:val="20"/>
        </w:rPr>
        <w:t xml:space="preserve"> disponibilního příjmu. Jestliže v celkové populaci má tento ukazatel za Českou republiku nízkou hodnotu vůči průměru Evropské unie, u osob ve věku 65 a více let to již neplatí. V ČR se podíl seniorů ohrožených příjmovou ch</w:t>
      </w:r>
      <w:r w:rsidR="00DE1825">
        <w:rPr>
          <w:rFonts w:cs="Arial"/>
          <w:szCs w:val="20"/>
        </w:rPr>
        <w:t>udobou výrazně zvýšil z 6,6 % v </w:t>
      </w:r>
      <w:r w:rsidRPr="008E7FAA">
        <w:rPr>
          <w:rFonts w:cs="Arial"/>
          <w:szCs w:val="20"/>
        </w:rPr>
        <w:t>roce 2010 na 16,6 % v roce 2019. Ve všech 28 zemích EU přitom průměrně ukazatel za stejné období vzrostl jen mírně z 16 % na 16,5 %. Nejvyšší míru ohrožení příjmovou chudobou zaznamenalo v roce 2019 Lotyšsko (47,9 %), vysoká byla též v Estonsku (43,7 %) a Bulharsku (34,6 %). Nejnižší údaje o příjmové chudobě seniorů vydaly v rámci EU Dánsko (9 %) a Lucembursko (9,3 %).</w:t>
      </w:r>
    </w:p>
    <w:p w14:paraId="524ED275" w14:textId="6820D073" w:rsidR="00435CF7" w:rsidRPr="008E7FAA" w:rsidRDefault="00435CF7" w:rsidP="008E7FAA">
      <w:pPr>
        <w:spacing w:line="276" w:lineRule="auto"/>
        <w:jc w:val="both"/>
        <w:rPr>
          <w:rFonts w:cs="Arial"/>
          <w:szCs w:val="20"/>
        </w:rPr>
      </w:pPr>
      <w:r w:rsidRPr="008E7FAA">
        <w:rPr>
          <w:rFonts w:cs="Arial"/>
          <w:szCs w:val="20"/>
        </w:rPr>
        <w:t xml:space="preserve">U českých mužů se podíl seniorů nad 65 let věku ohrožených příjmovou chudobou zvýšil od roku 2010 do roku 2019 z 2,1 % na 9,4 %, což je nárůst více než čtyřnásobný. V průměru za celou EU vzrostl podíl u mužů z 13 % v roce 2010 na 14 % v roce 2019. Největší podíl mužů v ohrožení příjmovou chudobou žil v roce 2019 v Lotyšsku (41,8 %), Estonsku (31,9 %) a Bulharsku (27,2 %), nejmenší na Slovensku (6,1 %), v Lucembursku (6,8 %) a v Maďarsku (7,8 %). </w:t>
      </w:r>
    </w:p>
    <w:p w14:paraId="34ECA18E" w14:textId="092991B5" w:rsidR="00435CF7" w:rsidRPr="008E7FAA" w:rsidRDefault="00435CF7" w:rsidP="008E7FAA">
      <w:pPr>
        <w:spacing w:line="276" w:lineRule="auto"/>
        <w:jc w:val="both"/>
        <w:rPr>
          <w:rFonts w:cs="Arial"/>
          <w:szCs w:val="20"/>
        </w:rPr>
      </w:pPr>
      <w:r w:rsidRPr="008E7FAA">
        <w:rPr>
          <w:rFonts w:cs="Arial"/>
          <w:szCs w:val="20"/>
        </w:rPr>
        <w:t>U žen v ČR vzrostl za stejné období podíl seniorek starších 65 let ohrožených příjmovou chudobou z 10,3 % na 22,1 %, což je více než dvojnásobek. V průměru za celou EU tento podíl vzrostl jen zanedbatelně z 18,3 % v roce 2010 na 18,5 % v roce 2019. Nejvyšší hodnotu měl tento ukazatel u</w:t>
      </w:r>
      <w:r w:rsidR="00826326">
        <w:rPr>
          <w:rFonts w:cs="Arial"/>
          <w:szCs w:val="20"/>
        </w:rPr>
        <w:t xml:space="preserve"> žen v roce 2019 v Lotyšsku (51 </w:t>
      </w:r>
      <w:r w:rsidRPr="008E7FAA">
        <w:rPr>
          <w:rFonts w:cs="Arial"/>
          <w:szCs w:val="20"/>
        </w:rPr>
        <w:t>%), Estonsku (49,9 %) a Bulharsku (39,5 %). Nejnižší podíl žen ohrožených příjmovou chudobou v této věkové kategorii mělo Dánsko (9,7 %), dále Francie (10,1 %) a Slovensko (10,5 %).</w:t>
      </w:r>
    </w:p>
    <w:p w14:paraId="57E4C948" w14:textId="1C0835B9" w:rsidR="009569BF" w:rsidRPr="008E7FAA" w:rsidRDefault="009569BF" w:rsidP="008E7FAA">
      <w:pPr>
        <w:spacing w:line="276" w:lineRule="auto"/>
        <w:ind w:left="360"/>
        <w:jc w:val="center"/>
        <w:rPr>
          <w:rFonts w:cs="Arial"/>
          <w:szCs w:val="20"/>
        </w:rPr>
      </w:pPr>
      <w:r w:rsidRPr="008E7FAA">
        <w:rPr>
          <w:rFonts w:cs="Arial"/>
          <w:szCs w:val="20"/>
        </w:rPr>
        <w:t>* * *</w:t>
      </w:r>
    </w:p>
    <w:p w14:paraId="79579CE4" w14:textId="17CAD809" w:rsidR="003D586D" w:rsidRPr="008E7FAA" w:rsidRDefault="00EF15C3" w:rsidP="008E7FAA">
      <w:pPr>
        <w:spacing w:line="276" w:lineRule="auto"/>
        <w:jc w:val="both"/>
        <w:rPr>
          <w:rFonts w:cs="Arial"/>
          <w:szCs w:val="20"/>
        </w:rPr>
      </w:pPr>
      <w:r w:rsidRPr="008E7FAA">
        <w:rPr>
          <w:rFonts w:cs="Arial"/>
          <w:szCs w:val="20"/>
        </w:rPr>
        <w:t xml:space="preserve">Česko patří </w:t>
      </w:r>
      <w:r w:rsidR="003A475D" w:rsidRPr="008E7FAA">
        <w:rPr>
          <w:rFonts w:cs="Arial"/>
          <w:szCs w:val="20"/>
        </w:rPr>
        <w:t xml:space="preserve">podle experimentální statistiky Eurostatu </w:t>
      </w:r>
      <w:r w:rsidR="009046D0" w:rsidRPr="008E7FAA">
        <w:rPr>
          <w:rFonts w:cs="Arial"/>
          <w:szCs w:val="20"/>
        </w:rPr>
        <w:t>mezi země, kde lidé</w:t>
      </w:r>
      <w:r w:rsidRPr="008E7FAA">
        <w:rPr>
          <w:rFonts w:cs="Arial"/>
          <w:szCs w:val="20"/>
        </w:rPr>
        <w:t xml:space="preserve"> usilovně spoří. To s</w:t>
      </w:r>
      <w:r w:rsidR="003A475D" w:rsidRPr="008E7FAA">
        <w:rPr>
          <w:rFonts w:cs="Arial"/>
          <w:szCs w:val="20"/>
        </w:rPr>
        <w:t>e</w:t>
      </w:r>
      <w:r w:rsidRPr="008E7FAA">
        <w:rPr>
          <w:rFonts w:cs="Arial"/>
          <w:szCs w:val="20"/>
        </w:rPr>
        <w:t> týká především mladého věku (do 35 let), kde nás ve sklonu ke spořivosti (27 % příjmu) předstihuje pouze Estonsko a Polsko. Platí to také pro vyšší střední věk (45</w:t>
      </w:r>
      <w:r w:rsidR="00A26E96" w:rsidRPr="008E7FAA">
        <w:rPr>
          <w:rFonts w:cs="Arial"/>
          <w:iCs/>
          <w:color w:val="000000"/>
          <w:szCs w:val="20"/>
        </w:rPr>
        <w:t>–</w:t>
      </w:r>
      <w:r w:rsidRPr="008E7FAA">
        <w:rPr>
          <w:rFonts w:cs="Arial"/>
          <w:szCs w:val="20"/>
        </w:rPr>
        <w:t>64 let) se stejnou mírou, kde nás však p</w:t>
      </w:r>
      <w:r w:rsidR="00D92946" w:rsidRPr="008E7FAA">
        <w:rPr>
          <w:rFonts w:cs="Arial"/>
          <w:szCs w:val="20"/>
        </w:rPr>
        <w:t>ředstihne také ještě Švédsko a </w:t>
      </w:r>
      <w:r w:rsidRPr="008E7FAA">
        <w:rPr>
          <w:rFonts w:cs="Arial"/>
          <w:szCs w:val="20"/>
        </w:rPr>
        <w:t>Francie. U seniorské populace míra spořivosti v ČR klesá na 21 % (u kategorie 6</w:t>
      </w:r>
      <w:r w:rsidR="0035018E" w:rsidRPr="008E7FAA">
        <w:rPr>
          <w:rFonts w:cs="Arial"/>
          <w:szCs w:val="20"/>
        </w:rPr>
        <w:t>5</w:t>
      </w:r>
      <w:r w:rsidR="00A26E96" w:rsidRPr="008E7FAA">
        <w:rPr>
          <w:rFonts w:cs="Arial"/>
          <w:iCs/>
          <w:color w:val="000000"/>
          <w:szCs w:val="20"/>
        </w:rPr>
        <w:t>–</w:t>
      </w:r>
      <w:r w:rsidR="00D92946" w:rsidRPr="008E7FAA">
        <w:rPr>
          <w:rFonts w:cs="Arial"/>
          <w:szCs w:val="20"/>
        </w:rPr>
        <w:t>74 let), resp. 18 % (u </w:t>
      </w:r>
      <w:r w:rsidR="0035018E" w:rsidRPr="008E7FAA">
        <w:rPr>
          <w:rFonts w:cs="Arial"/>
          <w:szCs w:val="20"/>
        </w:rPr>
        <w:t>věku 7</w:t>
      </w:r>
      <w:r w:rsidRPr="008E7FAA">
        <w:rPr>
          <w:rFonts w:cs="Arial"/>
          <w:szCs w:val="20"/>
        </w:rPr>
        <w:t>5 a více let), takže nás předstihuje již deset států EU.</w:t>
      </w:r>
    </w:p>
    <w:p w14:paraId="2339BA3E" w14:textId="1B0DA07D" w:rsidR="00065051" w:rsidRPr="008E7FAA" w:rsidRDefault="003D586D" w:rsidP="008E7FAA">
      <w:pPr>
        <w:spacing w:line="276" w:lineRule="auto"/>
        <w:jc w:val="both"/>
        <w:rPr>
          <w:rFonts w:cs="Arial"/>
          <w:szCs w:val="20"/>
        </w:rPr>
      </w:pPr>
      <w:r w:rsidRPr="008E7FAA">
        <w:rPr>
          <w:rFonts w:cs="Arial"/>
          <w:szCs w:val="20"/>
        </w:rPr>
        <w:t xml:space="preserve">Česko se tedy řadí k zemím, kde seniorská populace šetří méně než ta nejmladší. Diametrálně odlišnou situaci můžeme pozorovat například ve Francii, ve Finsku, ale i například ve Španělsku. V těchto zemích </w:t>
      </w:r>
      <w:r w:rsidR="00983337" w:rsidRPr="008E7FAA">
        <w:rPr>
          <w:rFonts w:cs="Arial"/>
          <w:szCs w:val="20"/>
        </w:rPr>
        <w:t xml:space="preserve">příliš </w:t>
      </w:r>
      <w:r w:rsidRPr="008E7FAA">
        <w:rPr>
          <w:rFonts w:cs="Arial"/>
          <w:szCs w:val="20"/>
        </w:rPr>
        <w:t>nešetří nejmladší generace, zato ty nejstarší šetří výrazně.</w:t>
      </w:r>
    </w:p>
    <w:p w14:paraId="554FD98F" w14:textId="34FB7B13" w:rsidR="00965FC5" w:rsidRPr="000B7034" w:rsidRDefault="00965FC5" w:rsidP="00965FC5">
      <w:pPr>
        <w:spacing w:before="240" w:after="60" w:line="240" w:lineRule="auto"/>
        <w:jc w:val="center"/>
        <w:rPr>
          <w:b/>
          <w:noProof/>
        </w:rPr>
      </w:pPr>
      <w:r w:rsidRPr="000B7034">
        <w:rPr>
          <w:b/>
          <w:noProof/>
        </w:rPr>
        <w:t xml:space="preserve">Graf </w:t>
      </w:r>
      <w:r>
        <w:rPr>
          <w:b/>
          <w:noProof/>
        </w:rPr>
        <w:t>17: Míra spořivosti za vybrané země EU v roce 2015</w:t>
      </w:r>
    </w:p>
    <w:p w14:paraId="066787A8" w14:textId="5B7BD743" w:rsidR="00EF15C3" w:rsidRDefault="00011B3B" w:rsidP="005C04EF">
      <w:pPr>
        <w:spacing w:after="60" w:line="240" w:lineRule="auto"/>
        <w:jc w:val="center"/>
        <w:rPr>
          <w:rFonts w:cs="Arial"/>
          <w:szCs w:val="20"/>
        </w:rPr>
      </w:pPr>
      <w:r>
        <w:rPr>
          <w:rFonts w:cs="Arial"/>
          <w:noProof/>
          <w:szCs w:val="20"/>
        </w:rPr>
        <w:drawing>
          <wp:inline distT="0" distB="0" distL="0" distR="0" wp14:anchorId="030F5E9B" wp14:editId="0E8E7D30">
            <wp:extent cx="6212205" cy="2932430"/>
            <wp:effectExtent l="0" t="0" r="0" b="127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2205" cy="2932430"/>
                    </a:xfrm>
                    <a:prstGeom prst="rect">
                      <a:avLst/>
                    </a:prstGeom>
                    <a:noFill/>
                  </pic:spPr>
                </pic:pic>
              </a:graphicData>
            </a:graphic>
          </wp:inline>
        </w:drawing>
      </w:r>
    </w:p>
    <w:p w14:paraId="04371F51" w14:textId="77777777" w:rsidR="005C04EF" w:rsidRPr="00C7401D" w:rsidRDefault="005C04EF" w:rsidP="005C04EF">
      <w:pPr>
        <w:spacing w:line="240" w:lineRule="auto"/>
        <w:ind w:left="284"/>
        <w:rPr>
          <w:rFonts w:cs="Arial"/>
          <w:i/>
          <w:sz w:val="18"/>
          <w:szCs w:val="18"/>
        </w:rPr>
      </w:pPr>
      <w:r w:rsidRPr="00C7401D">
        <w:rPr>
          <w:i/>
          <w:noProof/>
          <w:sz w:val="18"/>
          <w:szCs w:val="18"/>
        </w:rPr>
        <w:t xml:space="preserve">Zdroj: </w:t>
      </w:r>
      <w:r>
        <w:rPr>
          <w:i/>
          <w:noProof/>
          <w:sz w:val="18"/>
          <w:szCs w:val="18"/>
        </w:rPr>
        <w:t>ČSÚ</w:t>
      </w:r>
    </w:p>
    <w:p w14:paraId="396190CC" w14:textId="77777777" w:rsidR="005C04EF" w:rsidRPr="008E7FAA" w:rsidRDefault="005C04EF" w:rsidP="00965FC5">
      <w:pPr>
        <w:spacing w:line="276" w:lineRule="auto"/>
        <w:jc w:val="center"/>
        <w:rPr>
          <w:rFonts w:cs="Arial"/>
          <w:szCs w:val="20"/>
        </w:rPr>
      </w:pPr>
    </w:p>
    <w:p w14:paraId="46632C4F" w14:textId="60E46982" w:rsidR="00715FD6" w:rsidRPr="008E7FAA" w:rsidRDefault="00715FD6" w:rsidP="008E7FAA">
      <w:pPr>
        <w:spacing w:line="276" w:lineRule="auto"/>
        <w:jc w:val="both"/>
        <w:rPr>
          <w:rFonts w:cs="Arial"/>
          <w:szCs w:val="20"/>
        </w:rPr>
      </w:pPr>
      <w:r w:rsidRPr="008E7FAA">
        <w:rPr>
          <w:rFonts w:cs="Arial"/>
          <w:b/>
          <w:szCs w:val="20"/>
          <w:highlight w:val="green"/>
        </w:rPr>
        <w:br w:type="column"/>
      </w:r>
      <w:r w:rsidR="002F5490">
        <w:rPr>
          <w:rFonts w:cs="Arial"/>
          <w:b/>
          <w:szCs w:val="20"/>
        </w:rPr>
        <w:lastRenderedPageBreak/>
        <w:t>Shrnutí</w:t>
      </w:r>
    </w:p>
    <w:p w14:paraId="6D92D04B" w14:textId="10A42C35" w:rsidR="00715FD6" w:rsidRPr="008E7FAA" w:rsidRDefault="00715FD6" w:rsidP="008E7FAA">
      <w:pPr>
        <w:spacing w:line="276" w:lineRule="auto"/>
        <w:jc w:val="both"/>
        <w:rPr>
          <w:rFonts w:cs="Arial"/>
          <w:szCs w:val="20"/>
        </w:rPr>
      </w:pPr>
      <w:r w:rsidRPr="008E7FAA">
        <w:rPr>
          <w:rFonts w:cs="Arial"/>
          <w:szCs w:val="20"/>
        </w:rPr>
        <w:t xml:space="preserve">Česká populace </w:t>
      </w:r>
      <w:r w:rsidR="00435CF7" w:rsidRPr="008E7FAA">
        <w:rPr>
          <w:rFonts w:cs="Arial"/>
          <w:szCs w:val="20"/>
        </w:rPr>
        <w:t>demografi</w:t>
      </w:r>
      <w:r w:rsidRPr="008E7FAA">
        <w:rPr>
          <w:rFonts w:cs="Arial"/>
          <w:szCs w:val="20"/>
        </w:rPr>
        <w:t xml:space="preserve">cky stárne. </w:t>
      </w:r>
      <w:r w:rsidR="00FB51FE" w:rsidRPr="008E7FAA">
        <w:rPr>
          <w:rFonts w:cs="Arial"/>
          <w:szCs w:val="20"/>
        </w:rPr>
        <w:t>Na r</w:t>
      </w:r>
      <w:r w:rsidR="00FB51FE">
        <w:rPr>
          <w:rFonts w:cs="Arial"/>
          <w:szCs w:val="20"/>
        </w:rPr>
        <w:t>ostoucím počtu a podílu seniorů</w:t>
      </w:r>
      <w:r w:rsidR="00FB51FE" w:rsidRPr="008E7FAA">
        <w:rPr>
          <w:rFonts w:cs="Arial"/>
          <w:szCs w:val="20"/>
        </w:rPr>
        <w:t xml:space="preserve"> se ve druhém desetiletí 21. století podílel jednak přesun osob z početně silných generací narozených po 2. světové válce do </w:t>
      </w:r>
      <w:r w:rsidR="002B53E5">
        <w:rPr>
          <w:rFonts w:cs="Arial"/>
          <w:szCs w:val="20"/>
        </w:rPr>
        <w:t>věku nad 65 let, a </w:t>
      </w:r>
      <w:r w:rsidR="00FB51FE" w:rsidRPr="008E7FAA">
        <w:rPr>
          <w:rFonts w:cs="Arial"/>
          <w:szCs w:val="20"/>
        </w:rPr>
        <w:t>jednak dlouhodobě prodlužující se střední délka života</w:t>
      </w:r>
      <w:r w:rsidR="00C37591">
        <w:rPr>
          <w:rFonts w:cs="Arial"/>
          <w:szCs w:val="20"/>
        </w:rPr>
        <w:t>,</w:t>
      </w:r>
      <w:r w:rsidR="00FB51FE" w:rsidRPr="008E7FAA">
        <w:rPr>
          <w:rFonts w:cs="Arial"/>
          <w:szCs w:val="20"/>
        </w:rPr>
        <w:t xml:space="preserve"> neboli naděje dožití. Mezi roky 2010 a 2019 vzrostla naděje dožití při narození u mužů ze 74,4 na 76,3 let a u žen z 80,6 na 82,1 let.</w:t>
      </w:r>
    </w:p>
    <w:p w14:paraId="24854C7E" w14:textId="2DFB7DBA" w:rsidR="00715FD6" w:rsidRPr="008E7FAA" w:rsidRDefault="00715FD6" w:rsidP="008E7FAA">
      <w:pPr>
        <w:spacing w:line="276" w:lineRule="auto"/>
        <w:jc w:val="both"/>
        <w:rPr>
          <w:rFonts w:cs="Arial"/>
          <w:iCs/>
          <w:szCs w:val="20"/>
        </w:rPr>
      </w:pPr>
      <w:r w:rsidRPr="008E7FAA">
        <w:rPr>
          <w:rFonts w:cs="Arial"/>
          <w:szCs w:val="20"/>
        </w:rPr>
        <w:t xml:space="preserve">Zejména starší muži doplácejí na </w:t>
      </w:r>
      <w:r w:rsidR="00435CF7" w:rsidRPr="008E7FAA">
        <w:rPr>
          <w:rFonts w:cs="Arial"/>
          <w:szCs w:val="20"/>
        </w:rPr>
        <w:t xml:space="preserve">méně </w:t>
      </w:r>
      <w:r w:rsidRPr="008E7FAA">
        <w:rPr>
          <w:rFonts w:cs="Arial"/>
          <w:szCs w:val="20"/>
        </w:rPr>
        <w:t xml:space="preserve">zdravý životní styl projevující se zejména vyšší a pravidelnější spotřebou alkoholu a tabákových výrobků. </w:t>
      </w:r>
      <w:r w:rsidRPr="008E7FAA">
        <w:rPr>
          <w:rFonts w:cs="Arial"/>
          <w:iCs/>
          <w:szCs w:val="20"/>
        </w:rPr>
        <w:t>Muži mají celkově výraznější problémy s nad</w:t>
      </w:r>
      <w:r w:rsidR="00296055" w:rsidRPr="008E7FAA">
        <w:rPr>
          <w:rFonts w:cs="Arial"/>
          <w:iCs/>
          <w:szCs w:val="20"/>
        </w:rPr>
        <w:t>váhou (</w:t>
      </w:r>
      <w:proofErr w:type="spellStart"/>
      <w:r w:rsidR="00296055" w:rsidRPr="008E7FAA">
        <w:rPr>
          <w:rFonts w:cs="Arial"/>
          <w:iCs/>
          <w:szCs w:val="20"/>
        </w:rPr>
        <w:t>preobezitou</w:t>
      </w:r>
      <w:proofErr w:type="spellEnd"/>
      <w:r w:rsidR="00296055" w:rsidRPr="008E7FAA">
        <w:rPr>
          <w:rFonts w:cs="Arial"/>
          <w:iCs/>
          <w:szCs w:val="20"/>
        </w:rPr>
        <w:t>) než ženy, a </w:t>
      </w:r>
      <w:r w:rsidRPr="008E7FAA">
        <w:rPr>
          <w:rFonts w:cs="Arial"/>
          <w:iCs/>
          <w:szCs w:val="20"/>
        </w:rPr>
        <w:t>to</w:t>
      </w:r>
      <w:r w:rsidR="00296055" w:rsidRPr="008E7FAA">
        <w:rPr>
          <w:rFonts w:cs="Arial"/>
          <w:iCs/>
          <w:szCs w:val="20"/>
        </w:rPr>
        <w:t xml:space="preserve"> </w:t>
      </w:r>
      <w:r w:rsidRPr="008E7FAA">
        <w:rPr>
          <w:rFonts w:cs="Arial"/>
          <w:iCs/>
          <w:szCs w:val="20"/>
        </w:rPr>
        <w:t>v každém věku.</w:t>
      </w:r>
      <w:r w:rsidRPr="008E7FAA">
        <w:rPr>
          <w:rFonts w:cs="Arial"/>
          <w:szCs w:val="20"/>
        </w:rPr>
        <w:t xml:space="preserve"> </w:t>
      </w:r>
      <w:r w:rsidRPr="008E7FAA">
        <w:rPr>
          <w:rFonts w:cs="Arial"/>
          <w:iCs/>
          <w:szCs w:val="20"/>
        </w:rPr>
        <w:t xml:space="preserve">V případě obezity jsou na tom ženy i muži podobně. Nejvyšší podíl </w:t>
      </w:r>
      <w:proofErr w:type="spellStart"/>
      <w:r w:rsidRPr="008E7FAA">
        <w:rPr>
          <w:rFonts w:cs="Arial"/>
          <w:iCs/>
          <w:szCs w:val="20"/>
        </w:rPr>
        <w:t>preobezity</w:t>
      </w:r>
      <w:proofErr w:type="spellEnd"/>
      <w:r w:rsidRPr="008E7FAA">
        <w:rPr>
          <w:rFonts w:cs="Arial"/>
          <w:iCs/>
          <w:szCs w:val="20"/>
        </w:rPr>
        <w:t xml:space="preserve"> zaznamenali muži i ženy v seniorské věkové kategorii 65</w:t>
      </w:r>
      <w:r w:rsidRPr="008E7FAA">
        <w:rPr>
          <w:rFonts w:cs="Arial"/>
          <w:szCs w:val="20"/>
        </w:rPr>
        <w:t>–</w:t>
      </w:r>
      <w:r w:rsidRPr="008E7FAA">
        <w:rPr>
          <w:rFonts w:cs="Arial"/>
          <w:iCs/>
          <w:szCs w:val="20"/>
        </w:rPr>
        <w:t xml:space="preserve">74 let. </w:t>
      </w:r>
      <w:proofErr w:type="spellStart"/>
      <w:r w:rsidRPr="008E7FAA">
        <w:rPr>
          <w:rFonts w:cs="Arial"/>
          <w:iCs/>
          <w:szCs w:val="20"/>
        </w:rPr>
        <w:t>Preobezitou</w:t>
      </w:r>
      <w:proofErr w:type="spellEnd"/>
      <w:r w:rsidRPr="008E7FAA">
        <w:rPr>
          <w:rFonts w:cs="Arial"/>
          <w:iCs/>
          <w:szCs w:val="20"/>
        </w:rPr>
        <w:t xml:space="preserve"> zde trpělo 44 % žen a 55 % mužů.</w:t>
      </w:r>
    </w:p>
    <w:p w14:paraId="28D450F2" w14:textId="23131AAF" w:rsidR="00715FD6" w:rsidRPr="008E7FAA" w:rsidRDefault="00B9565B" w:rsidP="008E7FAA">
      <w:pPr>
        <w:spacing w:line="276" w:lineRule="auto"/>
        <w:jc w:val="both"/>
        <w:rPr>
          <w:rFonts w:cs="Arial"/>
          <w:szCs w:val="20"/>
        </w:rPr>
      </w:pPr>
      <w:r w:rsidRPr="008E7FAA">
        <w:rPr>
          <w:rFonts w:cs="Arial"/>
          <w:szCs w:val="20"/>
        </w:rPr>
        <w:t xml:space="preserve">S postupujícím věkem se v české </w:t>
      </w:r>
      <w:r w:rsidR="00715FD6" w:rsidRPr="008E7FAA">
        <w:rPr>
          <w:rFonts w:cs="Arial"/>
          <w:szCs w:val="20"/>
        </w:rPr>
        <w:t>populaci</w:t>
      </w:r>
      <w:r w:rsidRPr="008E7FAA">
        <w:rPr>
          <w:rFonts w:cs="Arial"/>
          <w:szCs w:val="20"/>
        </w:rPr>
        <w:t xml:space="preserve"> snižuje školní vzdělanost. Zejména u žen v seniorské</w:t>
      </w:r>
      <w:r w:rsidR="00935868">
        <w:rPr>
          <w:rFonts w:cs="Arial"/>
          <w:szCs w:val="20"/>
        </w:rPr>
        <w:t>m</w:t>
      </w:r>
      <w:r w:rsidRPr="008E7FAA">
        <w:rPr>
          <w:rFonts w:cs="Arial"/>
          <w:szCs w:val="20"/>
        </w:rPr>
        <w:t xml:space="preserve"> věku </w:t>
      </w:r>
      <w:r w:rsidR="00715FD6" w:rsidRPr="008E7FAA">
        <w:rPr>
          <w:rFonts w:cs="Arial"/>
          <w:szCs w:val="20"/>
        </w:rPr>
        <w:t>najdeme nižší stupně vzdělání</w:t>
      </w:r>
      <w:r w:rsidRPr="008E7FAA">
        <w:rPr>
          <w:rFonts w:cs="Arial"/>
          <w:szCs w:val="20"/>
        </w:rPr>
        <w:t>, vysoké školy jsou výjimečné</w:t>
      </w:r>
      <w:r w:rsidR="00833A5B" w:rsidRPr="008E7FAA">
        <w:rPr>
          <w:rFonts w:cs="Arial"/>
          <w:szCs w:val="20"/>
        </w:rPr>
        <w:t>. U mladé generace s</w:t>
      </w:r>
      <w:r w:rsidR="00127C21" w:rsidRPr="008E7FAA">
        <w:rPr>
          <w:rFonts w:cs="Arial"/>
          <w:szCs w:val="20"/>
        </w:rPr>
        <w:t>e</w:t>
      </w:r>
      <w:r w:rsidR="00833A5B" w:rsidRPr="008E7FAA">
        <w:rPr>
          <w:rFonts w:cs="Arial"/>
          <w:szCs w:val="20"/>
        </w:rPr>
        <w:t> pohlavní rozdíly vyrovnávají a stupeň vzdělání se zvyšuje. Vedle toho mají starší senioř</w:t>
      </w:r>
      <w:r w:rsidR="00935868">
        <w:rPr>
          <w:rFonts w:cs="Arial"/>
          <w:szCs w:val="20"/>
        </w:rPr>
        <w:t>i omezený přístup k informačním</w:t>
      </w:r>
      <w:r w:rsidR="00833A5B" w:rsidRPr="008E7FAA">
        <w:rPr>
          <w:rFonts w:cs="Arial"/>
          <w:szCs w:val="20"/>
        </w:rPr>
        <w:t xml:space="preserve"> technologiím.</w:t>
      </w:r>
    </w:p>
    <w:p w14:paraId="74321F37" w14:textId="278F5CB0" w:rsidR="00715FD6" w:rsidRPr="008E7FAA" w:rsidRDefault="00715FD6" w:rsidP="008E7FAA">
      <w:pPr>
        <w:autoSpaceDE w:val="0"/>
        <w:autoSpaceDN w:val="0"/>
        <w:adjustRightInd w:val="0"/>
        <w:spacing w:line="276" w:lineRule="auto"/>
        <w:jc w:val="both"/>
        <w:rPr>
          <w:rFonts w:cs="Arial"/>
          <w:iCs/>
          <w:szCs w:val="20"/>
        </w:rPr>
      </w:pPr>
      <w:r w:rsidRPr="008E7FAA">
        <w:rPr>
          <w:rFonts w:cs="Arial"/>
          <w:iCs/>
          <w:szCs w:val="20"/>
        </w:rPr>
        <w:t xml:space="preserve">Senioři ve věku od 60 let výše více než mladší skupiny inklinují k samostatné výdělečné činnosti, kde lépe zúročí své dlouholeté pracovní zkušenosti. V roce 2019 tvořili 18 % zaměstnavatelů, 14 % pracujících na vlastní účet, ale jen 8 % z dominantní skupiny </w:t>
      </w:r>
      <w:r w:rsidR="001D3125">
        <w:rPr>
          <w:rFonts w:cs="Arial"/>
          <w:iCs/>
          <w:szCs w:val="20"/>
        </w:rPr>
        <w:t>zaměstnanců (podle výsledků Výběrového šetření pracovních sil</w:t>
      </w:r>
      <w:r w:rsidRPr="008E7FAA">
        <w:rPr>
          <w:rFonts w:cs="Arial"/>
          <w:iCs/>
          <w:szCs w:val="20"/>
        </w:rPr>
        <w:t>).</w:t>
      </w:r>
    </w:p>
    <w:p w14:paraId="1FCF3025" w14:textId="0A5C095A" w:rsidR="00715FD6" w:rsidRDefault="00833A5B" w:rsidP="008E7FAA">
      <w:pPr>
        <w:spacing w:line="276" w:lineRule="auto"/>
        <w:jc w:val="both"/>
        <w:rPr>
          <w:rFonts w:cs="Arial"/>
          <w:szCs w:val="20"/>
        </w:rPr>
      </w:pPr>
      <w:r w:rsidRPr="008E7FAA">
        <w:rPr>
          <w:rFonts w:cs="Arial"/>
          <w:szCs w:val="20"/>
        </w:rPr>
        <w:t>Průměrné (i mediánové) mzdy</w:t>
      </w:r>
      <w:r w:rsidR="002B53E5">
        <w:rPr>
          <w:rFonts w:cs="Arial"/>
          <w:szCs w:val="20"/>
        </w:rPr>
        <w:t xml:space="preserve"> zaměstnanců </w:t>
      </w:r>
      <w:r w:rsidRPr="008E7FAA">
        <w:rPr>
          <w:rFonts w:cs="Arial"/>
          <w:szCs w:val="20"/>
        </w:rPr>
        <w:t>jsou v seniorské generaci na výši srovnatelné se středním věkem, jenže tento ukazatel odpovídá jen menší skupině lidí s vyšší kvalifikací a v lepším zdravotním stavu, než je běžný stav v této generaci.</w:t>
      </w:r>
    </w:p>
    <w:p w14:paraId="6B166504" w14:textId="2BE45E13" w:rsidR="00271D34" w:rsidRPr="008E7FAA" w:rsidRDefault="00271D34" w:rsidP="008E7FAA">
      <w:pPr>
        <w:spacing w:line="276" w:lineRule="auto"/>
        <w:jc w:val="both"/>
        <w:rPr>
          <w:rFonts w:cs="Arial"/>
          <w:szCs w:val="20"/>
        </w:rPr>
      </w:pPr>
      <w:r w:rsidRPr="008E7FAA">
        <w:rPr>
          <w:rFonts w:eastAsia="Calibri" w:cs="Arial"/>
          <w:szCs w:val="20"/>
        </w:rPr>
        <w:t>Hrubé příjmy domácností jednotlivců starších 65 let jsou tvořeny převážně důchody. Celkové důchody se na jejich hrubém příjmu podílejí z 86,5 %, ostatní zdroje příjmů jsou víceméně zanedbatelné.</w:t>
      </w:r>
    </w:p>
    <w:p w14:paraId="18FDF149" w14:textId="6C208491" w:rsidR="006E016C" w:rsidRPr="008E7FAA" w:rsidRDefault="00801796" w:rsidP="008E7FAA">
      <w:pPr>
        <w:spacing w:line="276" w:lineRule="auto"/>
        <w:jc w:val="both"/>
        <w:rPr>
          <w:rFonts w:cs="Arial"/>
          <w:szCs w:val="20"/>
        </w:rPr>
      </w:pPr>
      <w:r w:rsidRPr="008E7FAA">
        <w:rPr>
          <w:rFonts w:cs="Arial"/>
          <w:szCs w:val="20"/>
        </w:rPr>
        <w:t xml:space="preserve">Přibližně 14 % domácností v roce 2019 uvedlo, že </w:t>
      </w:r>
      <w:r w:rsidR="00A26B66">
        <w:rPr>
          <w:rFonts w:cs="Arial"/>
          <w:szCs w:val="20"/>
        </w:rPr>
        <w:t xml:space="preserve">s příjmy </w:t>
      </w:r>
      <w:r w:rsidRPr="008E7FAA">
        <w:rPr>
          <w:rFonts w:cs="Arial"/>
          <w:szCs w:val="20"/>
        </w:rPr>
        <w:t>vycházejí s obtížemi až velkými obtížemi, což meziročně představuje pokles o 3,3</w:t>
      </w:r>
      <w:r w:rsidR="00A26B66">
        <w:rPr>
          <w:rFonts w:cs="Arial"/>
          <w:szCs w:val="20"/>
        </w:rPr>
        <w:t xml:space="preserve"> p. b.</w:t>
      </w:r>
      <w:r w:rsidRPr="008E7FAA">
        <w:rPr>
          <w:rFonts w:cs="Arial"/>
          <w:szCs w:val="20"/>
        </w:rPr>
        <w:t xml:space="preserve"> a ve srovnání například s rokem 2013 dokonce o 17,9 procentního bodu. Ve skupině jednotlivců nad 65 let je domácností, které vycházejí obtížně s příjmy, téměř jedna pětina.</w:t>
      </w:r>
    </w:p>
    <w:p w14:paraId="3BD8D2AF" w14:textId="33FA7E71" w:rsidR="006E016C" w:rsidRPr="008E7FAA" w:rsidRDefault="006E016C" w:rsidP="008E7FAA">
      <w:pPr>
        <w:spacing w:line="276" w:lineRule="auto"/>
        <w:jc w:val="both"/>
        <w:rPr>
          <w:rFonts w:cs="Arial"/>
          <w:szCs w:val="20"/>
        </w:rPr>
      </w:pPr>
      <w:r w:rsidRPr="008E7FAA">
        <w:rPr>
          <w:rFonts w:cs="Arial"/>
          <w:szCs w:val="20"/>
        </w:rPr>
        <w:t>Za rok 2019 činily průměrné měsíční výdaje domácností za bydlení 5 799 Kč.</w:t>
      </w:r>
      <w:r w:rsidR="009569BF" w:rsidRPr="008E7FAA">
        <w:rPr>
          <w:rFonts w:cs="Arial"/>
          <w:szCs w:val="20"/>
        </w:rPr>
        <w:t xml:space="preserve"> </w:t>
      </w:r>
      <w:r w:rsidRPr="008E7FAA">
        <w:rPr>
          <w:rFonts w:cs="Arial"/>
          <w:szCs w:val="20"/>
        </w:rPr>
        <w:t xml:space="preserve">Pro zhruba sedm procent českých domácností představují výdaje na bydlení včetně energií více než 40 % z jejich čistých peněžních příjmů. Jednoznačně nejvíce, rovná čtvrtina, je takových domácností mezi jednotlivci staršími 65 let. </w:t>
      </w:r>
    </w:p>
    <w:p w14:paraId="135960B2" w14:textId="5EA9D12C" w:rsidR="00B70FA6" w:rsidRPr="008E7FAA" w:rsidRDefault="00B70FA6" w:rsidP="008E7FAA">
      <w:pPr>
        <w:spacing w:line="276" w:lineRule="auto"/>
        <w:jc w:val="both"/>
        <w:rPr>
          <w:rFonts w:cs="Arial"/>
          <w:szCs w:val="20"/>
        </w:rPr>
      </w:pPr>
      <w:r w:rsidRPr="008E7FAA">
        <w:rPr>
          <w:rFonts w:cs="Arial"/>
          <w:szCs w:val="20"/>
        </w:rPr>
        <w:t>Nejvíce seniorů, konkrétně 35 %, žije v bytech o velikosti 60</w:t>
      </w:r>
      <w:r w:rsidR="00C37591">
        <w:rPr>
          <w:rFonts w:cs="Arial"/>
          <w:szCs w:val="20"/>
        </w:rPr>
        <w:t>–</w:t>
      </w:r>
      <w:r w:rsidRPr="008E7FAA">
        <w:rPr>
          <w:rFonts w:cs="Arial"/>
          <w:szCs w:val="20"/>
        </w:rPr>
        <w:t xml:space="preserve"> 80 metrů čtverečních. Dvaadvacet procent obývá byty o velikosti od</w:t>
      </w:r>
      <w:r w:rsidRPr="008E7FAA">
        <w:rPr>
          <w:rFonts w:cs="Arial"/>
          <w:smallCaps/>
          <w:szCs w:val="20"/>
        </w:rPr>
        <w:t xml:space="preserve"> 40 </w:t>
      </w:r>
      <w:r w:rsidRPr="008E7FAA">
        <w:rPr>
          <w:rFonts w:cs="Arial"/>
          <w:szCs w:val="20"/>
        </w:rPr>
        <w:t>do 60 čtverečních metrů a 8 % z nich žije v malometrážních bytech do 40 metrů čtverečních.</w:t>
      </w:r>
    </w:p>
    <w:p w14:paraId="589F1E79" w14:textId="24B6D18E" w:rsidR="009569BF" w:rsidRPr="008E7FAA" w:rsidRDefault="009569BF" w:rsidP="008E7FAA">
      <w:pPr>
        <w:spacing w:line="276" w:lineRule="auto"/>
        <w:jc w:val="both"/>
        <w:rPr>
          <w:rFonts w:cs="Arial"/>
          <w:szCs w:val="20"/>
        </w:rPr>
      </w:pPr>
      <w:r w:rsidRPr="008E7FAA">
        <w:rPr>
          <w:rFonts w:cs="Arial"/>
          <w:szCs w:val="20"/>
        </w:rPr>
        <w:t xml:space="preserve">ČR zůstává zemí, kde je obecně podíl lidí ohrožených chudobou nízký ve srovnání s průměrem EU, avšak v seniorské kategorii je značný trend ke zhoršování situace a u </w:t>
      </w:r>
      <w:proofErr w:type="gramStart"/>
      <w:r w:rsidRPr="008E7FAA">
        <w:rPr>
          <w:rFonts w:cs="Arial"/>
          <w:szCs w:val="20"/>
        </w:rPr>
        <w:t>žen</w:t>
      </w:r>
      <w:proofErr w:type="gramEnd"/>
      <w:r w:rsidR="002A5FE8">
        <w:rPr>
          <w:rFonts w:cs="Arial"/>
          <w:szCs w:val="20"/>
        </w:rPr>
        <w:t>–</w:t>
      </w:r>
      <w:proofErr w:type="gramStart"/>
      <w:r w:rsidRPr="008E7FAA">
        <w:rPr>
          <w:rFonts w:cs="Arial"/>
          <w:szCs w:val="20"/>
        </w:rPr>
        <w:t>seniorek</w:t>
      </w:r>
      <w:proofErr w:type="gramEnd"/>
      <w:r w:rsidRPr="008E7FAA">
        <w:rPr>
          <w:rFonts w:cs="Arial"/>
          <w:szCs w:val="20"/>
        </w:rPr>
        <w:t xml:space="preserve"> již podíl převýšil průměr EU.</w:t>
      </w:r>
    </w:p>
    <w:p w14:paraId="392D3286" w14:textId="05408809" w:rsidR="0035018E" w:rsidRPr="008E7FAA" w:rsidRDefault="00E15986" w:rsidP="008E7FAA">
      <w:pPr>
        <w:spacing w:line="276" w:lineRule="auto"/>
        <w:jc w:val="both"/>
        <w:rPr>
          <w:rFonts w:cs="Arial"/>
          <w:szCs w:val="20"/>
        </w:rPr>
      </w:pPr>
      <w:r w:rsidRPr="008E7FAA">
        <w:rPr>
          <w:rFonts w:cs="Arial"/>
          <w:szCs w:val="20"/>
        </w:rPr>
        <w:t>Česko patří mezi země, kde lidé</w:t>
      </w:r>
      <w:r w:rsidR="0035018E" w:rsidRPr="008E7FAA">
        <w:rPr>
          <w:rFonts w:cs="Arial"/>
          <w:szCs w:val="20"/>
        </w:rPr>
        <w:t xml:space="preserve"> usilovně spoří. Výraznou roli zde hraje věk. Nejvíce totiž spoří mladí, do 35 let věku. U seniorské populace míra spořivosti v ČR klesá. Ve věku 65</w:t>
      </w:r>
      <w:r w:rsidR="00A26E96" w:rsidRPr="008E7FAA">
        <w:rPr>
          <w:rFonts w:cs="Arial"/>
          <w:iCs/>
          <w:color w:val="000000"/>
          <w:szCs w:val="20"/>
        </w:rPr>
        <w:t>–</w:t>
      </w:r>
      <w:r w:rsidR="00271D34">
        <w:rPr>
          <w:rFonts w:cs="Arial"/>
          <w:szCs w:val="20"/>
        </w:rPr>
        <w:t>74 let na 21 %.</w:t>
      </w:r>
    </w:p>
    <w:sectPr w:rsidR="0035018E" w:rsidRPr="008E7FAA" w:rsidSect="006F5416">
      <w:headerReference w:type="even" r:id="rId28"/>
      <w:headerReference w:type="default" r:id="rId29"/>
      <w:footerReference w:type="even" r:id="rId30"/>
      <w:footerReference w:type="default" r:id="rId31"/>
      <w:pgSz w:w="11906" w:h="16838" w:code="9"/>
      <w:pgMar w:top="1134" w:right="1134" w:bottom="1418" w:left="1134"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1C59" w16cex:dateUtc="2021-01-15T12:51:00Z"/>
  <w16cex:commentExtensible w16cex:durableId="23AC1D1A" w16cex:dateUtc="2021-01-15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987A02" w16cid:durableId="23AC1C59"/>
  <w16cid:commentId w16cid:paraId="48C17BD3" w16cid:durableId="23AC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0603" w14:textId="77777777" w:rsidR="00210F37" w:rsidRDefault="00210F37" w:rsidP="00E71A58">
      <w:r>
        <w:separator/>
      </w:r>
    </w:p>
  </w:endnote>
  <w:endnote w:type="continuationSeparator" w:id="0">
    <w:p w14:paraId="3FA86ED6" w14:textId="77777777" w:rsidR="00210F37" w:rsidRDefault="00210F3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1FAB" w14:textId="6FEE8079" w:rsidR="009173E5" w:rsidRPr="00932443" w:rsidRDefault="009173E5" w:rsidP="00A418BC">
    <w:pPr>
      <w:pStyle w:val="Zpat"/>
      <w:rPr>
        <w:szCs w:val="16"/>
      </w:rPr>
    </w:pPr>
    <w:r>
      <w:rPr>
        <w:szCs w:val="16"/>
        <w:lang w:eastAsia="cs-CZ"/>
      </w:rPr>
      <w:drawing>
        <wp:anchor distT="0" distB="0" distL="114300" distR="114300" simplePos="0" relativeHeight="251658240" behindDoc="0" locked="0" layoutInCell="1" allowOverlap="1" wp14:anchorId="665E7D81" wp14:editId="5201BA3E">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26326">
      <w:rPr>
        <w:szCs w:val="16"/>
      </w:rPr>
      <w:t>20</w:t>
    </w:r>
    <w:r w:rsidRPr="00932443">
      <w:rPr>
        <w:szCs w:val="16"/>
      </w:rPr>
      <w:fldChar w:fldCharType="end"/>
    </w:r>
    <w:r w:rsidRPr="00932443">
      <w:rPr>
        <w:szCs w:val="16"/>
      </w:rPr>
      <w:tab/>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9070" w14:textId="0B8FAC4D" w:rsidR="009173E5" w:rsidRPr="00932443" w:rsidRDefault="009173E5" w:rsidP="00A418BC">
    <w:pPr>
      <w:pStyle w:val="Zpat"/>
      <w:rPr>
        <w:szCs w:val="16"/>
      </w:rPr>
    </w:pPr>
    <w:r>
      <w:rPr>
        <w:szCs w:val="16"/>
        <w:lang w:eastAsia="cs-CZ"/>
      </w:rPr>
      <w:drawing>
        <wp:anchor distT="0" distB="0" distL="114300" distR="114300" simplePos="0" relativeHeight="251657216" behindDoc="0" locked="0" layoutInCell="1" allowOverlap="1" wp14:anchorId="2752CA72" wp14:editId="2E2D3CCD">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26326">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52E4A" w14:textId="77777777" w:rsidR="00210F37" w:rsidRDefault="00210F37" w:rsidP="00E71A58">
      <w:r>
        <w:separator/>
      </w:r>
    </w:p>
  </w:footnote>
  <w:footnote w:type="continuationSeparator" w:id="0">
    <w:p w14:paraId="5789E5E6" w14:textId="77777777" w:rsidR="00210F37" w:rsidRDefault="00210F3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CBF9" w14:textId="3AF76A27" w:rsidR="009173E5" w:rsidRPr="006F5416" w:rsidRDefault="009173E5" w:rsidP="00937AE2">
    <w:pPr>
      <w:pStyle w:val="Zhlav"/>
    </w:pPr>
    <w:r>
      <w:t>Životní podmínky seniorů v roce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F97D" w14:textId="24CA43CE" w:rsidR="009173E5" w:rsidRPr="006F5416" w:rsidRDefault="009173E5" w:rsidP="00937AE2">
    <w:pPr>
      <w:pStyle w:val="Zhlav"/>
    </w:pPr>
    <w:r>
      <w:t>Senioři v ČR v datech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4429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676C7"/>
    <w:multiLevelType w:val="hybridMultilevel"/>
    <w:tmpl w:val="67EC4172"/>
    <w:lvl w:ilvl="0" w:tplc="BECACCF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14605A"/>
    <w:multiLevelType w:val="hybridMultilevel"/>
    <w:tmpl w:val="67DAB1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AC1931"/>
    <w:multiLevelType w:val="hybridMultilevel"/>
    <w:tmpl w:val="E366457C"/>
    <w:lvl w:ilvl="0" w:tplc="86500B9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47256E"/>
    <w:multiLevelType w:val="hybridMultilevel"/>
    <w:tmpl w:val="B172D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1E75FB"/>
    <w:multiLevelType w:val="hybridMultilevel"/>
    <w:tmpl w:val="C6621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5"/>
  </w:num>
  <w:num w:numId="14">
    <w:abstractNumId w:val="13"/>
  </w:num>
  <w:num w:numId="15">
    <w:abstractNumId w:val="10"/>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D8"/>
    <w:rsid w:val="0000209D"/>
    <w:rsid w:val="00004D5A"/>
    <w:rsid w:val="000056D5"/>
    <w:rsid w:val="0000767A"/>
    <w:rsid w:val="0001005C"/>
    <w:rsid w:val="000101BA"/>
    <w:rsid w:val="00010702"/>
    <w:rsid w:val="000108B2"/>
    <w:rsid w:val="00011004"/>
    <w:rsid w:val="00011B3B"/>
    <w:rsid w:val="000124DA"/>
    <w:rsid w:val="0001410C"/>
    <w:rsid w:val="000141C5"/>
    <w:rsid w:val="00016992"/>
    <w:rsid w:val="000229BF"/>
    <w:rsid w:val="000234D6"/>
    <w:rsid w:val="00023D29"/>
    <w:rsid w:val="00024CC0"/>
    <w:rsid w:val="00026389"/>
    <w:rsid w:val="00031AE0"/>
    <w:rsid w:val="000322EF"/>
    <w:rsid w:val="00032AA6"/>
    <w:rsid w:val="00033FCD"/>
    <w:rsid w:val="00041CEC"/>
    <w:rsid w:val="00045E5F"/>
    <w:rsid w:val="00046117"/>
    <w:rsid w:val="0004694F"/>
    <w:rsid w:val="00050E87"/>
    <w:rsid w:val="00052230"/>
    <w:rsid w:val="000522E4"/>
    <w:rsid w:val="000524DA"/>
    <w:rsid w:val="00053C51"/>
    <w:rsid w:val="00053FEC"/>
    <w:rsid w:val="000610E1"/>
    <w:rsid w:val="0006196A"/>
    <w:rsid w:val="00062EC5"/>
    <w:rsid w:val="00062F22"/>
    <w:rsid w:val="00065051"/>
    <w:rsid w:val="00066AF7"/>
    <w:rsid w:val="000712B3"/>
    <w:rsid w:val="000726CB"/>
    <w:rsid w:val="0008263E"/>
    <w:rsid w:val="00082C19"/>
    <w:rsid w:val="00083E78"/>
    <w:rsid w:val="00085395"/>
    <w:rsid w:val="00087634"/>
    <w:rsid w:val="00087F2B"/>
    <w:rsid w:val="000935E7"/>
    <w:rsid w:val="000974D1"/>
    <w:rsid w:val="0009799E"/>
    <w:rsid w:val="000A1183"/>
    <w:rsid w:val="000A256D"/>
    <w:rsid w:val="000A3A2C"/>
    <w:rsid w:val="000A6535"/>
    <w:rsid w:val="000A68BC"/>
    <w:rsid w:val="000A6F2B"/>
    <w:rsid w:val="000A7983"/>
    <w:rsid w:val="000B30FA"/>
    <w:rsid w:val="000B7034"/>
    <w:rsid w:val="000C0994"/>
    <w:rsid w:val="000C3408"/>
    <w:rsid w:val="000C4873"/>
    <w:rsid w:val="000C6AFD"/>
    <w:rsid w:val="000D33D9"/>
    <w:rsid w:val="000D5637"/>
    <w:rsid w:val="000D5DC9"/>
    <w:rsid w:val="000E6FBD"/>
    <w:rsid w:val="000F3917"/>
    <w:rsid w:val="000F433E"/>
    <w:rsid w:val="000F70E7"/>
    <w:rsid w:val="00100F5C"/>
    <w:rsid w:val="0010437D"/>
    <w:rsid w:val="00104C4C"/>
    <w:rsid w:val="00117278"/>
    <w:rsid w:val="0012192F"/>
    <w:rsid w:val="001230D3"/>
    <w:rsid w:val="00123AB9"/>
    <w:rsid w:val="00125D69"/>
    <w:rsid w:val="00127C21"/>
    <w:rsid w:val="00135CA8"/>
    <w:rsid w:val="001405FA"/>
    <w:rsid w:val="001425C3"/>
    <w:rsid w:val="00143669"/>
    <w:rsid w:val="00143BDA"/>
    <w:rsid w:val="00144C70"/>
    <w:rsid w:val="0014747E"/>
    <w:rsid w:val="001525A7"/>
    <w:rsid w:val="00153576"/>
    <w:rsid w:val="00154187"/>
    <w:rsid w:val="0016256B"/>
    <w:rsid w:val="00163793"/>
    <w:rsid w:val="001673B8"/>
    <w:rsid w:val="001706D6"/>
    <w:rsid w:val="001714F2"/>
    <w:rsid w:val="00171C14"/>
    <w:rsid w:val="001805CC"/>
    <w:rsid w:val="00184B08"/>
    <w:rsid w:val="00185010"/>
    <w:rsid w:val="00186CB7"/>
    <w:rsid w:val="00187AD3"/>
    <w:rsid w:val="00191BCE"/>
    <w:rsid w:val="001A1511"/>
    <w:rsid w:val="001A3EBD"/>
    <w:rsid w:val="001A552F"/>
    <w:rsid w:val="001B06A4"/>
    <w:rsid w:val="001B1911"/>
    <w:rsid w:val="001B2CA9"/>
    <w:rsid w:val="001B3110"/>
    <w:rsid w:val="001B4729"/>
    <w:rsid w:val="001B5B2B"/>
    <w:rsid w:val="001B6C09"/>
    <w:rsid w:val="001B7679"/>
    <w:rsid w:val="001C00BE"/>
    <w:rsid w:val="001C05CD"/>
    <w:rsid w:val="001C1ACB"/>
    <w:rsid w:val="001C4521"/>
    <w:rsid w:val="001C6899"/>
    <w:rsid w:val="001C746C"/>
    <w:rsid w:val="001C7AF2"/>
    <w:rsid w:val="001D12EA"/>
    <w:rsid w:val="001D3125"/>
    <w:rsid w:val="001D5D7E"/>
    <w:rsid w:val="001D5DC2"/>
    <w:rsid w:val="001D68B2"/>
    <w:rsid w:val="001D7490"/>
    <w:rsid w:val="001E1754"/>
    <w:rsid w:val="001E46E3"/>
    <w:rsid w:val="001F41CA"/>
    <w:rsid w:val="001F4597"/>
    <w:rsid w:val="001F6990"/>
    <w:rsid w:val="002062FA"/>
    <w:rsid w:val="00207F21"/>
    <w:rsid w:val="002104DC"/>
    <w:rsid w:val="00210F37"/>
    <w:rsid w:val="002118B9"/>
    <w:rsid w:val="00213F56"/>
    <w:rsid w:val="002140D4"/>
    <w:rsid w:val="00215B59"/>
    <w:rsid w:val="00215D9A"/>
    <w:rsid w:val="002174C5"/>
    <w:rsid w:val="00217C5B"/>
    <w:rsid w:val="0022139E"/>
    <w:rsid w:val="00221F05"/>
    <w:rsid w:val="00224846"/>
    <w:rsid w:val="002252E0"/>
    <w:rsid w:val="002255F6"/>
    <w:rsid w:val="002261F7"/>
    <w:rsid w:val="00227850"/>
    <w:rsid w:val="00227A53"/>
    <w:rsid w:val="00230C6E"/>
    <w:rsid w:val="00236443"/>
    <w:rsid w:val="002410BD"/>
    <w:rsid w:val="002436BA"/>
    <w:rsid w:val="00244A15"/>
    <w:rsid w:val="00245A83"/>
    <w:rsid w:val="00247319"/>
    <w:rsid w:val="0024799E"/>
    <w:rsid w:val="00252DB5"/>
    <w:rsid w:val="0025360A"/>
    <w:rsid w:val="00253C0F"/>
    <w:rsid w:val="00254EDE"/>
    <w:rsid w:val="00257F7C"/>
    <w:rsid w:val="00260A66"/>
    <w:rsid w:val="00260B59"/>
    <w:rsid w:val="00265859"/>
    <w:rsid w:val="00271465"/>
    <w:rsid w:val="00271D34"/>
    <w:rsid w:val="00276C10"/>
    <w:rsid w:val="00285412"/>
    <w:rsid w:val="00290207"/>
    <w:rsid w:val="00291B8F"/>
    <w:rsid w:val="00295CA0"/>
    <w:rsid w:val="00296055"/>
    <w:rsid w:val="00296094"/>
    <w:rsid w:val="002A00BE"/>
    <w:rsid w:val="002A16D4"/>
    <w:rsid w:val="002A230C"/>
    <w:rsid w:val="002A5FE8"/>
    <w:rsid w:val="002B105E"/>
    <w:rsid w:val="002B4773"/>
    <w:rsid w:val="002B53E5"/>
    <w:rsid w:val="002B54EA"/>
    <w:rsid w:val="002B65FB"/>
    <w:rsid w:val="002B75EE"/>
    <w:rsid w:val="002C0680"/>
    <w:rsid w:val="002C08D8"/>
    <w:rsid w:val="002C43BD"/>
    <w:rsid w:val="002D075B"/>
    <w:rsid w:val="002D0E59"/>
    <w:rsid w:val="002D101B"/>
    <w:rsid w:val="002D2DE0"/>
    <w:rsid w:val="002E02A1"/>
    <w:rsid w:val="002E4CF8"/>
    <w:rsid w:val="002E4E4C"/>
    <w:rsid w:val="002E5A7F"/>
    <w:rsid w:val="002E72FD"/>
    <w:rsid w:val="002E79FC"/>
    <w:rsid w:val="002F2E31"/>
    <w:rsid w:val="002F515C"/>
    <w:rsid w:val="002F5490"/>
    <w:rsid w:val="00304771"/>
    <w:rsid w:val="003052D4"/>
    <w:rsid w:val="00306C5B"/>
    <w:rsid w:val="0031638E"/>
    <w:rsid w:val="00316D69"/>
    <w:rsid w:val="003209D6"/>
    <w:rsid w:val="00321869"/>
    <w:rsid w:val="00321924"/>
    <w:rsid w:val="0032656E"/>
    <w:rsid w:val="003317A1"/>
    <w:rsid w:val="00332190"/>
    <w:rsid w:val="00334688"/>
    <w:rsid w:val="0034029A"/>
    <w:rsid w:val="00342B33"/>
    <w:rsid w:val="00344668"/>
    <w:rsid w:val="003462D9"/>
    <w:rsid w:val="0035018E"/>
    <w:rsid w:val="00360C86"/>
    <w:rsid w:val="00361C87"/>
    <w:rsid w:val="00362412"/>
    <w:rsid w:val="003657F3"/>
    <w:rsid w:val="003709DC"/>
    <w:rsid w:val="00371A78"/>
    <w:rsid w:val="003771B8"/>
    <w:rsid w:val="003818DC"/>
    <w:rsid w:val="00384327"/>
    <w:rsid w:val="00384817"/>
    <w:rsid w:val="00385D98"/>
    <w:rsid w:val="00392647"/>
    <w:rsid w:val="003A2B4D"/>
    <w:rsid w:val="003A3EBC"/>
    <w:rsid w:val="003A475D"/>
    <w:rsid w:val="003A478C"/>
    <w:rsid w:val="003A5525"/>
    <w:rsid w:val="003A6B38"/>
    <w:rsid w:val="003A75E1"/>
    <w:rsid w:val="003B5A32"/>
    <w:rsid w:val="003B5E05"/>
    <w:rsid w:val="003B7699"/>
    <w:rsid w:val="003C0C9A"/>
    <w:rsid w:val="003C3490"/>
    <w:rsid w:val="003C3DAF"/>
    <w:rsid w:val="003D5391"/>
    <w:rsid w:val="003D586D"/>
    <w:rsid w:val="003D6920"/>
    <w:rsid w:val="003D79AD"/>
    <w:rsid w:val="003E4C91"/>
    <w:rsid w:val="003E63C6"/>
    <w:rsid w:val="003F313C"/>
    <w:rsid w:val="003F4B2C"/>
    <w:rsid w:val="003F53DA"/>
    <w:rsid w:val="003F551C"/>
    <w:rsid w:val="003F7D23"/>
    <w:rsid w:val="00405193"/>
    <w:rsid w:val="0040694A"/>
    <w:rsid w:val="00407C13"/>
    <w:rsid w:val="00410638"/>
    <w:rsid w:val="00412C94"/>
    <w:rsid w:val="00413756"/>
    <w:rsid w:val="00416E7A"/>
    <w:rsid w:val="00426C9B"/>
    <w:rsid w:val="00431A88"/>
    <w:rsid w:val="00432A58"/>
    <w:rsid w:val="004333AD"/>
    <w:rsid w:val="00434617"/>
    <w:rsid w:val="00434C41"/>
    <w:rsid w:val="00435CF7"/>
    <w:rsid w:val="00437B4C"/>
    <w:rsid w:val="00440900"/>
    <w:rsid w:val="004441A0"/>
    <w:rsid w:val="004449AC"/>
    <w:rsid w:val="0044556B"/>
    <w:rsid w:val="00452A2B"/>
    <w:rsid w:val="00460FB3"/>
    <w:rsid w:val="00461A1B"/>
    <w:rsid w:val="0046550E"/>
    <w:rsid w:val="00467C0C"/>
    <w:rsid w:val="00473DE7"/>
    <w:rsid w:val="0047568B"/>
    <w:rsid w:val="00476240"/>
    <w:rsid w:val="00476439"/>
    <w:rsid w:val="00476C90"/>
    <w:rsid w:val="0047735C"/>
    <w:rsid w:val="004776BC"/>
    <w:rsid w:val="0048139F"/>
    <w:rsid w:val="00481E40"/>
    <w:rsid w:val="00484ECE"/>
    <w:rsid w:val="004900FF"/>
    <w:rsid w:val="004915CB"/>
    <w:rsid w:val="004924DC"/>
    <w:rsid w:val="00496D73"/>
    <w:rsid w:val="004A1440"/>
    <w:rsid w:val="004A14E4"/>
    <w:rsid w:val="004A3212"/>
    <w:rsid w:val="004A61C5"/>
    <w:rsid w:val="004A77DF"/>
    <w:rsid w:val="004B08CD"/>
    <w:rsid w:val="004B1417"/>
    <w:rsid w:val="004B55B7"/>
    <w:rsid w:val="004B6468"/>
    <w:rsid w:val="004C384C"/>
    <w:rsid w:val="004C3867"/>
    <w:rsid w:val="004C4CD0"/>
    <w:rsid w:val="004C70DC"/>
    <w:rsid w:val="004D0211"/>
    <w:rsid w:val="004D0794"/>
    <w:rsid w:val="004D149F"/>
    <w:rsid w:val="004E7B92"/>
    <w:rsid w:val="004F06F5"/>
    <w:rsid w:val="004F33A0"/>
    <w:rsid w:val="00500A8A"/>
    <w:rsid w:val="00505274"/>
    <w:rsid w:val="005069BE"/>
    <w:rsid w:val="005108C0"/>
    <w:rsid w:val="00511873"/>
    <w:rsid w:val="00512A2F"/>
    <w:rsid w:val="00513B7E"/>
    <w:rsid w:val="00515C74"/>
    <w:rsid w:val="0051622A"/>
    <w:rsid w:val="0052007E"/>
    <w:rsid w:val="00521DBC"/>
    <w:rsid w:val="005226DB"/>
    <w:rsid w:val="0052337A"/>
    <w:rsid w:val="00525137"/>
    <w:rsid w:val="005251DD"/>
    <w:rsid w:val="00532CE7"/>
    <w:rsid w:val="0053324C"/>
    <w:rsid w:val="00534A28"/>
    <w:rsid w:val="00541508"/>
    <w:rsid w:val="00541741"/>
    <w:rsid w:val="00550D11"/>
    <w:rsid w:val="0055599F"/>
    <w:rsid w:val="00555A60"/>
    <w:rsid w:val="00556D68"/>
    <w:rsid w:val="005574E6"/>
    <w:rsid w:val="00562267"/>
    <w:rsid w:val="005647BF"/>
    <w:rsid w:val="005669B1"/>
    <w:rsid w:val="00571A01"/>
    <w:rsid w:val="0057364B"/>
    <w:rsid w:val="00573667"/>
    <w:rsid w:val="00574773"/>
    <w:rsid w:val="00583FFD"/>
    <w:rsid w:val="00584574"/>
    <w:rsid w:val="005848C0"/>
    <w:rsid w:val="00585AE9"/>
    <w:rsid w:val="00590813"/>
    <w:rsid w:val="005911BE"/>
    <w:rsid w:val="00593152"/>
    <w:rsid w:val="00594373"/>
    <w:rsid w:val="00596434"/>
    <w:rsid w:val="005A10F2"/>
    <w:rsid w:val="005A21E0"/>
    <w:rsid w:val="005A28FF"/>
    <w:rsid w:val="005A3DF8"/>
    <w:rsid w:val="005A5549"/>
    <w:rsid w:val="005B01BB"/>
    <w:rsid w:val="005B121D"/>
    <w:rsid w:val="005B17DF"/>
    <w:rsid w:val="005B2C81"/>
    <w:rsid w:val="005B3DE4"/>
    <w:rsid w:val="005C04EF"/>
    <w:rsid w:val="005C06ED"/>
    <w:rsid w:val="005D5802"/>
    <w:rsid w:val="005D7890"/>
    <w:rsid w:val="005E15F6"/>
    <w:rsid w:val="005E354E"/>
    <w:rsid w:val="005E3B06"/>
    <w:rsid w:val="005E3DB6"/>
    <w:rsid w:val="005E3DEB"/>
    <w:rsid w:val="005E3FE1"/>
    <w:rsid w:val="005E7C78"/>
    <w:rsid w:val="005F3EB1"/>
    <w:rsid w:val="005F518D"/>
    <w:rsid w:val="005F5469"/>
    <w:rsid w:val="00604307"/>
    <w:rsid w:val="0060487F"/>
    <w:rsid w:val="00604EAD"/>
    <w:rsid w:val="00606812"/>
    <w:rsid w:val="006104FB"/>
    <w:rsid w:val="006114DE"/>
    <w:rsid w:val="00612A2F"/>
    <w:rsid w:val="00616E05"/>
    <w:rsid w:val="00620343"/>
    <w:rsid w:val="00624093"/>
    <w:rsid w:val="00627AAB"/>
    <w:rsid w:val="00634647"/>
    <w:rsid w:val="006404A7"/>
    <w:rsid w:val="00640966"/>
    <w:rsid w:val="006451E4"/>
    <w:rsid w:val="00645B33"/>
    <w:rsid w:val="00646DF8"/>
    <w:rsid w:val="006516CB"/>
    <w:rsid w:val="00657E87"/>
    <w:rsid w:val="00664803"/>
    <w:rsid w:val="00665BA4"/>
    <w:rsid w:val="00665D27"/>
    <w:rsid w:val="00667AF2"/>
    <w:rsid w:val="006710C9"/>
    <w:rsid w:val="00674D89"/>
    <w:rsid w:val="00675E37"/>
    <w:rsid w:val="0068174E"/>
    <w:rsid w:val="00681DCE"/>
    <w:rsid w:val="0068260E"/>
    <w:rsid w:val="00687B17"/>
    <w:rsid w:val="00694AE5"/>
    <w:rsid w:val="00695BEF"/>
    <w:rsid w:val="006977F6"/>
    <w:rsid w:val="00697A13"/>
    <w:rsid w:val="006A109C"/>
    <w:rsid w:val="006A5341"/>
    <w:rsid w:val="006B344A"/>
    <w:rsid w:val="006B78D8"/>
    <w:rsid w:val="006B7D88"/>
    <w:rsid w:val="006C113F"/>
    <w:rsid w:val="006C123E"/>
    <w:rsid w:val="006C56D4"/>
    <w:rsid w:val="006C58E8"/>
    <w:rsid w:val="006C6924"/>
    <w:rsid w:val="006C7CA6"/>
    <w:rsid w:val="006D3E8A"/>
    <w:rsid w:val="006D5F7D"/>
    <w:rsid w:val="006D61F6"/>
    <w:rsid w:val="006E016C"/>
    <w:rsid w:val="006E0E5B"/>
    <w:rsid w:val="006E279A"/>
    <w:rsid w:val="006E313B"/>
    <w:rsid w:val="006E3ABC"/>
    <w:rsid w:val="006F5416"/>
    <w:rsid w:val="006F7137"/>
    <w:rsid w:val="00701CAD"/>
    <w:rsid w:val="00706AD4"/>
    <w:rsid w:val="00712661"/>
    <w:rsid w:val="00713738"/>
    <w:rsid w:val="007140BE"/>
    <w:rsid w:val="00715FD6"/>
    <w:rsid w:val="007211F5"/>
    <w:rsid w:val="0072150E"/>
    <w:rsid w:val="00724080"/>
    <w:rsid w:val="0072461B"/>
    <w:rsid w:val="00725BB5"/>
    <w:rsid w:val="00730AE8"/>
    <w:rsid w:val="007329F4"/>
    <w:rsid w:val="00735EA3"/>
    <w:rsid w:val="00737ECA"/>
    <w:rsid w:val="00737F67"/>
    <w:rsid w:val="00741493"/>
    <w:rsid w:val="00745E8E"/>
    <w:rsid w:val="00746BBE"/>
    <w:rsid w:val="00752180"/>
    <w:rsid w:val="00755202"/>
    <w:rsid w:val="00755D3A"/>
    <w:rsid w:val="007578D3"/>
    <w:rsid w:val="007609C6"/>
    <w:rsid w:val="0076175D"/>
    <w:rsid w:val="0076431D"/>
    <w:rsid w:val="0076521E"/>
    <w:rsid w:val="007661E9"/>
    <w:rsid w:val="00766D04"/>
    <w:rsid w:val="00776080"/>
    <w:rsid w:val="00776169"/>
    <w:rsid w:val="00776527"/>
    <w:rsid w:val="00780EF1"/>
    <w:rsid w:val="00790764"/>
    <w:rsid w:val="00793A19"/>
    <w:rsid w:val="0079453C"/>
    <w:rsid w:val="00794677"/>
    <w:rsid w:val="007962C8"/>
    <w:rsid w:val="00796B56"/>
    <w:rsid w:val="007A31D9"/>
    <w:rsid w:val="007A3776"/>
    <w:rsid w:val="007A5390"/>
    <w:rsid w:val="007A75AF"/>
    <w:rsid w:val="007B6689"/>
    <w:rsid w:val="007B6F92"/>
    <w:rsid w:val="007C37E1"/>
    <w:rsid w:val="007C3BE5"/>
    <w:rsid w:val="007D27F8"/>
    <w:rsid w:val="007D40DF"/>
    <w:rsid w:val="007D7502"/>
    <w:rsid w:val="007E7E61"/>
    <w:rsid w:val="007F0845"/>
    <w:rsid w:val="00801796"/>
    <w:rsid w:val="00804D2B"/>
    <w:rsid w:val="00807C82"/>
    <w:rsid w:val="00816905"/>
    <w:rsid w:val="00820180"/>
    <w:rsid w:val="00821FF6"/>
    <w:rsid w:val="00824CD4"/>
    <w:rsid w:val="00825C4D"/>
    <w:rsid w:val="00826326"/>
    <w:rsid w:val="00826F9A"/>
    <w:rsid w:val="0083143E"/>
    <w:rsid w:val="00831805"/>
    <w:rsid w:val="00831CDE"/>
    <w:rsid w:val="00833A5B"/>
    <w:rsid w:val="00834304"/>
    <w:rsid w:val="00834FAA"/>
    <w:rsid w:val="00836086"/>
    <w:rsid w:val="00836B44"/>
    <w:rsid w:val="0084708F"/>
    <w:rsid w:val="008477C8"/>
    <w:rsid w:val="00850854"/>
    <w:rsid w:val="0085114D"/>
    <w:rsid w:val="00851D05"/>
    <w:rsid w:val="00852217"/>
    <w:rsid w:val="00853AE7"/>
    <w:rsid w:val="00855408"/>
    <w:rsid w:val="008566FA"/>
    <w:rsid w:val="00856D65"/>
    <w:rsid w:val="00860E68"/>
    <w:rsid w:val="00861B41"/>
    <w:rsid w:val="00863434"/>
    <w:rsid w:val="00865E4C"/>
    <w:rsid w:val="008701E4"/>
    <w:rsid w:val="00872A29"/>
    <w:rsid w:val="008736A7"/>
    <w:rsid w:val="00875525"/>
    <w:rsid w:val="00875A32"/>
    <w:rsid w:val="00876086"/>
    <w:rsid w:val="00885A67"/>
    <w:rsid w:val="00885B98"/>
    <w:rsid w:val="008873D4"/>
    <w:rsid w:val="008874D7"/>
    <w:rsid w:val="008900A5"/>
    <w:rsid w:val="00893E85"/>
    <w:rsid w:val="00894031"/>
    <w:rsid w:val="008A4B45"/>
    <w:rsid w:val="008B2782"/>
    <w:rsid w:val="008B3485"/>
    <w:rsid w:val="008B7C02"/>
    <w:rsid w:val="008B7D2B"/>
    <w:rsid w:val="008C0049"/>
    <w:rsid w:val="008C0E88"/>
    <w:rsid w:val="008C47A2"/>
    <w:rsid w:val="008D1E6A"/>
    <w:rsid w:val="008D2A16"/>
    <w:rsid w:val="008D606E"/>
    <w:rsid w:val="008D787B"/>
    <w:rsid w:val="008E2C57"/>
    <w:rsid w:val="008E31FF"/>
    <w:rsid w:val="008E6B4F"/>
    <w:rsid w:val="008E6F06"/>
    <w:rsid w:val="008E7FAA"/>
    <w:rsid w:val="008F029B"/>
    <w:rsid w:val="008F31CB"/>
    <w:rsid w:val="008F3FC9"/>
    <w:rsid w:val="008F585B"/>
    <w:rsid w:val="008F63B4"/>
    <w:rsid w:val="009003A8"/>
    <w:rsid w:val="00900B90"/>
    <w:rsid w:val="00902500"/>
    <w:rsid w:val="00902EFF"/>
    <w:rsid w:val="009046D0"/>
    <w:rsid w:val="00906401"/>
    <w:rsid w:val="0091155E"/>
    <w:rsid w:val="0091298A"/>
    <w:rsid w:val="00912A92"/>
    <w:rsid w:val="009168E2"/>
    <w:rsid w:val="0091728D"/>
    <w:rsid w:val="009173E5"/>
    <w:rsid w:val="0092180B"/>
    <w:rsid w:val="00921F14"/>
    <w:rsid w:val="0092293A"/>
    <w:rsid w:val="00924AC8"/>
    <w:rsid w:val="0092597A"/>
    <w:rsid w:val="009311F2"/>
    <w:rsid w:val="00932443"/>
    <w:rsid w:val="00935868"/>
    <w:rsid w:val="00937AE2"/>
    <w:rsid w:val="0094427A"/>
    <w:rsid w:val="009569BF"/>
    <w:rsid w:val="009573D8"/>
    <w:rsid w:val="00957C8A"/>
    <w:rsid w:val="00964461"/>
    <w:rsid w:val="00965FC5"/>
    <w:rsid w:val="0096649C"/>
    <w:rsid w:val="00966B03"/>
    <w:rsid w:val="009727B7"/>
    <w:rsid w:val="00974923"/>
    <w:rsid w:val="00980D3D"/>
    <w:rsid w:val="00983337"/>
    <w:rsid w:val="00987A30"/>
    <w:rsid w:val="00992CF3"/>
    <w:rsid w:val="009968D6"/>
    <w:rsid w:val="00997080"/>
    <w:rsid w:val="009A1B6C"/>
    <w:rsid w:val="009A1CAB"/>
    <w:rsid w:val="009A60D1"/>
    <w:rsid w:val="009B3CA4"/>
    <w:rsid w:val="009B44FE"/>
    <w:rsid w:val="009B665B"/>
    <w:rsid w:val="009B6FD3"/>
    <w:rsid w:val="009C1750"/>
    <w:rsid w:val="009C2E29"/>
    <w:rsid w:val="009C554B"/>
    <w:rsid w:val="009C673B"/>
    <w:rsid w:val="009C6C4F"/>
    <w:rsid w:val="009C719E"/>
    <w:rsid w:val="009D249F"/>
    <w:rsid w:val="009D3ACD"/>
    <w:rsid w:val="009D3E9C"/>
    <w:rsid w:val="009D6DC3"/>
    <w:rsid w:val="009D748D"/>
    <w:rsid w:val="009E3D28"/>
    <w:rsid w:val="009E5273"/>
    <w:rsid w:val="009E5DDB"/>
    <w:rsid w:val="009F083E"/>
    <w:rsid w:val="009F4CA7"/>
    <w:rsid w:val="009F633C"/>
    <w:rsid w:val="00A01ADC"/>
    <w:rsid w:val="00A034DC"/>
    <w:rsid w:val="00A03582"/>
    <w:rsid w:val="00A10BB4"/>
    <w:rsid w:val="00A10C3F"/>
    <w:rsid w:val="00A10D66"/>
    <w:rsid w:val="00A13C17"/>
    <w:rsid w:val="00A14114"/>
    <w:rsid w:val="00A15A58"/>
    <w:rsid w:val="00A16413"/>
    <w:rsid w:val="00A17FEE"/>
    <w:rsid w:val="00A23E43"/>
    <w:rsid w:val="00A26B66"/>
    <w:rsid w:val="00A26E96"/>
    <w:rsid w:val="00A27D6A"/>
    <w:rsid w:val="00A30F65"/>
    <w:rsid w:val="00A33C71"/>
    <w:rsid w:val="00A418BC"/>
    <w:rsid w:val="00A42F60"/>
    <w:rsid w:val="00A462B0"/>
    <w:rsid w:val="00A46DE0"/>
    <w:rsid w:val="00A4756A"/>
    <w:rsid w:val="00A50C96"/>
    <w:rsid w:val="00A50D73"/>
    <w:rsid w:val="00A5101C"/>
    <w:rsid w:val="00A52CAD"/>
    <w:rsid w:val="00A53FC7"/>
    <w:rsid w:val="00A57D95"/>
    <w:rsid w:val="00A62CE1"/>
    <w:rsid w:val="00A63244"/>
    <w:rsid w:val="00A6741E"/>
    <w:rsid w:val="00A67A8D"/>
    <w:rsid w:val="00A67E1E"/>
    <w:rsid w:val="00A73E21"/>
    <w:rsid w:val="00A75E40"/>
    <w:rsid w:val="00A76D1E"/>
    <w:rsid w:val="00A77D1D"/>
    <w:rsid w:val="00A857C0"/>
    <w:rsid w:val="00AA01F4"/>
    <w:rsid w:val="00AA2996"/>
    <w:rsid w:val="00AA2CC5"/>
    <w:rsid w:val="00AA507A"/>
    <w:rsid w:val="00AA52BF"/>
    <w:rsid w:val="00AA559A"/>
    <w:rsid w:val="00AA6930"/>
    <w:rsid w:val="00AB2AF1"/>
    <w:rsid w:val="00AB3C92"/>
    <w:rsid w:val="00AB541F"/>
    <w:rsid w:val="00AC565E"/>
    <w:rsid w:val="00AC60A0"/>
    <w:rsid w:val="00AD306C"/>
    <w:rsid w:val="00AE09B3"/>
    <w:rsid w:val="00AE1A83"/>
    <w:rsid w:val="00AF0D8E"/>
    <w:rsid w:val="00AF22F5"/>
    <w:rsid w:val="00B00913"/>
    <w:rsid w:val="00B01593"/>
    <w:rsid w:val="00B02A54"/>
    <w:rsid w:val="00B04206"/>
    <w:rsid w:val="00B04AE5"/>
    <w:rsid w:val="00B10A4D"/>
    <w:rsid w:val="00B17E71"/>
    <w:rsid w:val="00B17FDE"/>
    <w:rsid w:val="00B22786"/>
    <w:rsid w:val="00B231D6"/>
    <w:rsid w:val="00B2379C"/>
    <w:rsid w:val="00B2687D"/>
    <w:rsid w:val="00B32DDB"/>
    <w:rsid w:val="00B33327"/>
    <w:rsid w:val="00B34528"/>
    <w:rsid w:val="00B402FC"/>
    <w:rsid w:val="00B46604"/>
    <w:rsid w:val="00B53044"/>
    <w:rsid w:val="00B530CD"/>
    <w:rsid w:val="00B55F5E"/>
    <w:rsid w:val="00B5752E"/>
    <w:rsid w:val="00B63A11"/>
    <w:rsid w:val="00B64C24"/>
    <w:rsid w:val="00B64D66"/>
    <w:rsid w:val="00B6608F"/>
    <w:rsid w:val="00B679FB"/>
    <w:rsid w:val="00B70C9A"/>
    <w:rsid w:val="00B70FA6"/>
    <w:rsid w:val="00B76D1E"/>
    <w:rsid w:val="00B80EC6"/>
    <w:rsid w:val="00B81B91"/>
    <w:rsid w:val="00B83BC2"/>
    <w:rsid w:val="00B8480B"/>
    <w:rsid w:val="00B84BBE"/>
    <w:rsid w:val="00B86A9F"/>
    <w:rsid w:val="00B92D1D"/>
    <w:rsid w:val="00B938C5"/>
    <w:rsid w:val="00B9565B"/>
    <w:rsid w:val="00B95940"/>
    <w:rsid w:val="00BB1C6B"/>
    <w:rsid w:val="00BB46F3"/>
    <w:rsid w:val="00BB4CB1"/>
    <w:rsid w:val="00BB4F98"/>
    <w:rsid w:val="00BB6E92"/>
    <w:rsid w:val="00BC7154"/>
    <w:rsid w:val="00BD366B"/>
    <w:rsid w:val="00BD6D50"/>
    <w:rsid w:val="00BD7988"/>
    <w:rsid w:val="00BE0F63"/>
    <w:rsid w:val="00BE18B9"/>
    <w:rsid w:val="00BE2495"/>
    <w:rsid w:val="00BF1578"/>
    <w:rsid w:val="00BF299F"/>
    <w:rsid w:val="00C02471"/>
    <w:rsid w:val="00C12FE5"/>
    <w:rsid w:val="00C133E2"/>
    <w:rsid w:val="00C155F2"/>
    <w:rsid w:val="00C165EE"/>
    <w:rsid w:val="00C1719A"/>
    <w:rsid w:val="00C20405"/>
    <w:rsid w:val="00C207F3"/>
    <w:rsid w:val="00C21F94"/>
    <w:rsid w:val="00C2501E"/>
    <w:rsid w:val="00C26FB3"/>
    <w:rsid w:val="00C27913"/>
    <w:rsid w:val="00C27ECC"/>
    <w:rsid w:val="00C33B68"/>
    <w:rsid w:val="00C36A79"/>
    <w:rsid w:val="00C37591"/>
    <w:rsid w:val="00C405D4"/>
    <w:rsid w:val="00C44F77"/>
    <w:rsid w:val="00C4513B"/>
    <w:rsid w:val="00C46700"/>
    <w:rsid w:val="00C4738B"/>
    <w:rsid w:val="00C54697"/>
    <w:rsid w:val="00C64B9E"/>
    <w:rsid w:val="00C73885"/>
    <w:rsid w:val="00C73EEF"/>
    <w:rsid w:val="00C7401D"/>
    <w:rsid w:val="00C747B1"/>
    <w:rsid w:val="00C82191"/>
    <w:rsid w:val="00C848C5"/>
    <w:rsid w:val="00C84D49"/>
    <w:rsid w:val="00C85ED5"/>
    <w:rsid w:val="00C90CF4"/>
    <w:rsid w:val="00C91E0C"/>
    <w:rsid w:val="00C92EB6"/>
    <w:rsid w:val="00C93389"/>
    <w:rsid w:val="00CB03EB"/>
    <w:rsid w:val="00CB4930"/>
    <w:rsid w:val="00CC2E7D"/>
    <w:rsid w:val="00CD10A5"/>
    <w:rsid w:val="00CD2076"/>
    <w:rsid w:val="00CE0B06"/>
    <w:rsid w:val="00CE100F"/>
    <w:rsid w:val="00CE670B"/>
    <w:rsid w:val="00CF352F"/>
    <w:rsid w:val="00CF51EC"/>
    <w:rsid w:val="00CF73AE"/>
    <w:rsid w:val="00CF7EF0"/>
    <w:rsid w:val="00D040D1"/>
    <w:rsid w:val="00D040DD"/>
    <w:rsid w:val="00D04DB3"/>
    <w:rsid w:val="00D11CAF"/>
    <w:rsid w:val="00D13986"/>
    <w:rsid w:val="00D13DD6"/>
    <w:rsid w:val="00D21E4A"/>
    <w:rsid w:val="00D235B7"/>
    <w:rsid w:val="00D25F28"/>
    <w:rsid w:val="00D27973"/>
    <w:rsid w:val="00D35C50"/>
    <w:rsid w:val="00D41931"/>
    <w:rsid w:val="00D43BBF"/>
    <w:rsid w:val="00D50F46"/>
    <w:rsid w:val="00D54C55"/>
    <w:rsid w:val="00D57A7D"/>
    <w:rsid w:val="00D64317"/>
    <w:rsid w:val="00D66223"/>
    <w:rsid w:val="00D75748"/>
    <w:rsid w:val="00D8084C"/>
    <w:rsid w:val="00D92946"/>
    <w:rsid w:val="00D97062"/>
    <w:rsid w:val="00D971E5"/>
    <w:rsid w:val="00DA2036"/>
    <w:rsid w:val="00DA4606"/>
    <w:rsid w:val="00DA4BC1"/>
    <w:rsid w:val="00DA7C0C"/>
    <w:rsid w:val="00DB16A4"/>
    <w:rsid w:val="00DB2EC8"/>
    <w:rsid w:val="00DB6899"/>
    <w:rsid w:val="00DB748F"/>
    <w:rsid w:val="00DC5B3B"/>
    <w:rsid w:val="00DC6D2D"/>
    <w:rsid w:val="00DC6DF2"/>
    <w:rsid w:val="00DC727C"/>
    <w:rsid w:val="00DD01B7"/>
    <w:rsid w:val="00DD0EC0"/>
    <w:rsid w:val="00DD129F"/>
    <w:rsid w:val="00DD1808"/>
    <w:rsid w:val="00DE1825"/>
    <w:rsid w:val="00DE314E"/>
    <w:rsid w:val="00DE4A5D"/>
    <w:rsid w:val="00DF3EC8"/>
    <w:rsid w:val="00DF42FF"/>
    <w:rsid w:val="00E01C0E"/>
    <w:rsid w:val="00E02A6F"/>
    <w:rsid w:val="00E03F9A"/>
    <w:rsid w:val="00E04694"/>
    <w:rsid w:val="00E12B1E"/>
    <w:rsid w:val="00E13BE1"/>
    <w:rsid w:val="00E13C26"/>
    <w:rsid w:val="00E15986"/>
    <w:rsid w:val="00E16FC8"/>
    <w:rsid w:val="00E17262"/>
    <w:rsid w:val="00E253A2"/>
    <w:rsid w:val="00E27F2A"/>
    <w:rsid w:val="00E32975"/>
    <w:rsid w:val="00E3309D"/>
    <w:rsid w:val="00E4091B"/>
    <w:rsid w:val="00E4560F"/>
    <w:rsid w:val="00E50156"/>
    <w:rsid w:val="00E53470"/>
    <w:rsid w:val="00E539F6"/>
    <w:rsid w:val="00E57E45"/>
    <w:rsid w:val="00E6519D"/>
    <w:rsid w:val="00E66962"/>
    <w:rsid w:val="00E67696"/>
    <w:rsid w:val="00E67E35"/>
    <w:rsid w:val="00E71A58"/>
    <w:rsid w:val="00E72A7A"/>
    <w:rsid w:val="00E75C94"/>
    <w:rsid w:val="00E8086E"/>
    <w:rsid w:val="00E85439"/>
    <w:rsid w:val="00E91EA1"/>
    <w:rsid w:val="00E93820"/>
    <w:rsid w:val="00EA0C68"/>
    <w:rsid w:val="00EA1643"/>
    <w:rsid w:val="00EA32BC"/>
    <w:rsid w:val="00EA3DB0"/>
    <w:rsid w:val="00EB4511"/>
    <w:rsid w:val="00EC03D7"/>
    <w:rsid w:val="00EC10B1"/>
    <w:rsid w:val="00EC536F"/>
    <w:rsid w:val="00EC592E"/>
    <w:rsid w:val="00EC5D78"/>
    <w:rsid w:val="00EC6CBB"/>
    <w:rsid w:val="00ED047F"/>
    <w:rsid w:val="00ED62C6"/>
    <w:rsid w:val="00ED64C1"/>
    <w:rsid w:val="00ED652C"/>
    <w:rsid w:val="00EE3446"/>
    <w:rsid w:val="00EE3E78"/>
    <w:rsid w:val="00EE4B1B"/>
    <w:rsid w:val="00EF150D"/>
    <w:rsid w:val="00EF15C3"/>
    <w:rsid w:val="00EF1840"/>
    <w:rsid w:val="00EF1F5A"/>
    <w:rsid w:val="00EF47BF"/>
    <w:rsid w:val="00EF5675"/>
    <w:rsid w:val="00F0299E"/>
    <w:rsid w:val="00F04811"/>
    <w:rsid w:val="00F0488C"/>
    <w:rsid w:val="00F05F5E"/>
    <w:rsid w:val="00F073CB"/>
    <w:rsid w:val="00F10F11"/>
    <w:rsid w:val="00F11844"/>
    <w:rsid w:val="00F15AAA"/>
    <w:rsid w:val="00F15BEF"/>
    <w:rsid w:val="00F16631"/>
    <w:rsid w:val="00F2098F"/>
    <w:rsid w:val="00F214CF"/>
    <w:rsid w:val="00F2391B"/>
    <w:rsid w:val="00F24407"/>
    <w:rsid w:val="00F24FAA"/>
    <w:rsid w:val="00F2644A"/>
    <w:rsid w:val="00F31A09"/>
    <w:rsid w:val="00F3364D"/>
    <w:rsid w:val="00F346CA"/>
    <w:rsid w:val="00F437CC"/>
    <w:rsid w:val="00F47067"/>
    <w:rsid w:val="00F525EB"/>
    <w:rsid w:val="00F54149"/>
    <w:rsid w:val="00F622E3"/>
    <w:rsid w:val="00F62772"/>
    <w:rsid w:val="00F637CE"/>
    <w:rsid w:val="00F63DDE"/>
    <w:rsid w:val="00F63FB7"/>
    <w:rsid w:val="00F64061"/>
    <w:rsid w:val="00F6486E"/>
    <w:rsid w:val="00F649D2"/>
    <w:rsid w:val="00F6602B"/>
    <w:rsid w:val="00F7260E"/>
    <w:rsid w:val="00F73A0C"/>
    <w:rsid w:val="00F7462D"/>
    <w:rsid w:val="00F756DB"/>
    <w:rsid w:val="00F85066"/>
    <w:rsid w:val="00F9448F"/>
    <w:rsid w:val="00F952A1"/>
    <w:rsid w:val="00FA3299"/>
    <w:rsid w:val="00FA5D4D"/>
    <w:rsid w:val="00FA7FB1"/>
    <w:rsid w:val="00FB0EE2"/>
    <w:rsid w:val="00FB51FE"/>
    <w:rsid w:val="00FB542E"/>
    <w:rsid w:val="00FB7A1D"/>
    <w:rsid w:val="00FC0E5F"/>
    <w:rsid w:val="00FC1A95"/>
    <w:rsid w:val="00FC3C31"/>
    <w:rsid w:val="00FC56DE"/>
    <w:rsid w:val="00FC684B"/>
    <w:rsid w:val="00FD10E4"/>
    <w:rsid w:val="00FD3265"/>
    <w:rsid w:val="00FD6779"/>
    <w:rsid w:val="00FE00CE"/>
    <w:rsid w:val="00FE2E65"/>
    <w:rsid w:val="00FE2F78"/>
    <w:rsid w:val="00FE62E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6769D14"/>
  <w15:docId w15:val="{18B217BA-1D08-441F-B1AE-ADCA9CD9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uiPriority w:val="99"/>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uiPriority w:val="99"/>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uiPriority w:val="99"/>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uiPriority w:val="99"/>
    <w:qFormat/>
    <w:rsid w:val="00104C4C"/>
    <w:pPr>
      <w:spacing w:after="40"/>
      <w:contextualSpacing/>
    </w:pPr>
    <w:rPr>
      <w:b/>
      <w:caps/>
      <w:color w:val="BD1B21"/>
      <w:sz w:val="24"/>
    </w:rPr>
  </w:style>
  <w:style w:type="paragraph" w:customStyle="1" w:styleId="TLKontakty">
    <w:name w:val="TL Kontakty"/>
    <w:uiPriority w:val="99"/>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Normlnweb">
    <w:name w:val="Normal (Web)"/>
    <w:basedOn w:val="Normln"/>
    <w:uiPriority w:val="99"/>
    <w:semiHidden/>
    <w:unhideWhenUsed/>
    <w:rsid w:val="008736A7"/>
    <w:pPr>
      <w:spacing w:before="100" w:beforeAutospacing="1" w:after="100" w:afterAutospacing="1" w:line="240" w:lineRule="auto"/>
    </w:pPr>
    <w:rPr>
      <w:rFonts w:ascii="Times New Roman" w:hAnsi="Times New Roman"/>
      <w:sz w:val="24"/>
    </w:rPr>
  </w:style>
  <w:style w:type="paragraph" w:styleId="Bezmezer">
    <w:name w:val="No Spacing"/>
    <w:uiPriority w:val="1"/>
    <w:qFormat/>
    <w:rsid w:val="003D79AD"/>
    <w:rPr>
      <w:rFonts w:ascii="Arial" w:eastAsia="Times New Roman" w:hAnsi="Arial"/>
      <w:szCs w:val="24"/>
      <w:lang w:eastAsia="cs-CZ"/>
    </w:rPr>
  </w:style>
  <w:style w:type="character" w:customStyle="1" w:styleId="input-std">
    <w:name w:val="input-std"/>
    <w:basedOn w:val="Standardnpsmoodstavce"/>
    <w:rsid w:val="003D79AD"/>
  </w:style>
  <w:style w:type="paragraph" w:styleId="Odstavecseseznamem">
    <w:name w:val="List Paragraph"/>
    <w:basedOn w:val="Normln"/>
    <w:uiPriority w:val="34"/>
    <w:qFormat/>
    <w:rsid w:val="00DC727C"/>
    <w:pPr>
      <w:ind w:left="720"/>
      <w:contextualSpacing/>
    </w:pPr>
  </w:style>
  <w:style w:type="character" w:styleId="Odkaznakoment">
    <w:name w:val="annotation reference"/>
    <w:basedOn w:val="Standardnpsmoodstavce"/>
    <w:uiPriority w:val="99"/>
    <w:semiHidden/>
    <w:unhideWhenUsed/>
    <w:rsid w:val="00F16631"/>
    <w:rPr>
      <w:sz w:val="16"/>
      <w:szCs w:val="16"/>
    </w:rPr>
  </w:style>
  <w:style w:type="paragraph" w:styleId="Textkomente">
    <w:name w:val="annotation text"/>
    <w:basedOn w:val="Normln"/>
    <w:link w:val="TextkomenteChar"/>
    <w:uiPriority w:val="99"/>
    <w:semiHidden/>
    <w:unhideWhenUsed/>
    <w:rsid w:val="00F16631"/>
    <w:pPr>
      <w:spacing w:line="240" w:lineRule="auto"/>
    </w:pPr>
    <w:rPr>
      <w:szCs w:val="20"/>
    </w:rPr>
  </w:style>
  <w:style w:type="character" w:customStyle="1" w:styleId="TextkomenteChar">
    <w:name w:val="Text komentáře Char"/>
    <w:basedOn w:val="Standardnpsmoodstavce"/>
    <w:link w:val="Textkomente"/>
    <w:uiPriority w:val="99"/>
    <w:semiHidden/>
    <w:rsid w:val="00F1663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F16631"/>
    <w:rPr>
      <w:b/>
      <w:bCs/>
    </w:rPr>
  </w:style>
  <w:style w:type="character" w:customStyle="1" w:styleId="PedmtkomenteChar">
    <w:name w:val="Předmět komentáře Char"/>
    <w:basedOn w:val="TextkomenteChar"/>
    <w:link w:val="Pedmtkomente"/>
    <w:uiPriority w:val="99"/>
    <w:semiHidden/>
    <w:rsid w:val="00F16631"/>
    <w:rPr>
      <w:rFonts w:ascii="Arial" w:eastAsia="Times New Roman" w:hAnsi="Arial"/>
      <w:b/>
      <w:bCs/>
      <w:lang w:eastAsia="cs-CZ"/>
    </w:rPr>
  </w:style>
  <w:style w:type="paragraph" w:styleId="Zkladntextodsazen">
    <w:name w:val="Body Text Indent"/>
    <w:basedOn w:val="Normln"/>
    <w:link w:val="ZkladntextodsazenChar"/>
    <w:semiHidden/>
    <w:rsid w:val="00715FD6"/>
    <w:pPr>
      <w:autoSpaceDE w:val="0"/>
      <w:autoSpaceDN w:val="0"/>
      <w:adjustRightInd w:val="0"/>
      <w:spacing w:after="0" w:line="240" w:lineRule="auto"/>
      <w:ind w:firstLine="567"/>
      <w:jc w:val="both"/>
    </w:pPr>
    <w:rPr>
      <w:rFonts w:cs="Arial"/>
    </w:rPr>
  </w:style>
  <w:style w:type="character" w:customStyle="1" w:styleId="ZkladntextodsazenChar">
    <w:name w:val="Základní text odsazený Char"/>
    <w:basedOn w:val="Standardnpsmoodstavce"/>
    <w:link w:val="Zkladntextodsazen"/>
    <w:semiHidden/>
    <w:rsid w:val="00715FD6"/>
    <w:rPr>
      <w:rFonts w:ascii="Arial" w:eastAsia="Times New Roman" w:hAnsi="Arial" w:cs="Arial"/>
      <w:szCs w:val="24"/>
      <w:lang w:eastAsia="cs-CZ"/>
    </w:rPr>
  </w:style>
  <w:style w:type="character" w:customStyle="1" w:styleId="odkaz-style-wrapper">
    <w:name w:val="odkaz-style-wrapper"/>
    <w:basedOn w:val="Standardnpsmoodstavce"/>
    <w:rsid w:val="00715FD6"/>
  </w:style>
  <w:style w:type="paragraph" w:styleId="Zkladntext">
    <w:name w:val="Body Text"/>
    <w:basedOn w:val="Normln"/>
    <w:link w:val="ZkladntextChar"/>
    <w:uiPriority w:val="99"/>
    <w:semiHidden/>
    <w:unhideWhenUsed/>
    <w:rsid w:val="00715FD6"/>
    <w:pPr>
      <w:spacing w:after="120"/>
    </w:pPr>
  </w:style>
  <w:style w:type="character" w:customStyle="1" w:styleId="ZkladntextChar">
    <w:name w:val="Základní text Char"/>
    <w:basedOn w:val="Standardnpsmoodstavce"/>
    <w:link w:val="Zkladntext"/>
    <w:uiPriority w:val="99"/>
    <w:semiHidden/>
    <w:rsid w:val="00715FD6"/>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62853">
      <w:bodyDiv w:val="1"/>
      <w:marLeft w:val="0"/>
      <w:marRight w:val="0"/>
      <w:marTop w:val="0"/>
      <w:marBottom w:val="0"/>
      <w:divBdr>
        <w:top w:val="none" w:sz="0" w:space="0" w:color="auto"/>
        <w:left w:val="none" w:sz="0" w:space="0" w:color="auto"/>
        <w:bottom w:val="none" w:sz="0" w:space="0" w:color="auto"/>
        <w:right w:val="none" w:sz="0" w:space="0" w:color="auto"/>
      </w:divBdr>
    </w:div>
    <w:div w:id="135538348">
      <w:bodyDiv w:val="1"/>
      <w:marLeft w:val="0"/>
      <w:marRight w:val="0"/>
      <w:marTop w:val="0"/>
      <w:marBottom w:val="0"/>
      <w:divBdr>
        <w:top w:val="none" w:sz="0" w:space="0" w:color="auto"/>
        <w:left w:val="none" w:sz="0" w:space="0" w:color="auto"/>
        <w:bottom w:val="none" w:sz="0" w:space="0" w:color="auto"/>
        <w:right w:val="none" w:sz="0" w:space="0" w:color="auto"/>
      </w:divBdr>
    </w:div>
    <w:div w:id="200217043">
      <w:bodyDiv w:val="1"/>
      <w:marLeft w:val="0"/>
      <w:marRight w:val="0"/>
      <w:marTop w:val="0"/>
      <w:marBottom w:val="0"/>
      <w:divBdr>
        <w:top w:val="none" w:sz="0" w:space="0" w:color="auto"/>
        <w:left w:val="none" w:sz="0" w:space="0" w:color="auto"/>
        <w:bottom w:val="none" w:sz="0" w:space="0" w:color="auto"/>
        <w:right w:val="none" w:sz="0" w:space="0" w:color="auto"/>
      </w:divBdr>
    </w:div>
    <w:div w:id="204566853">
      <w:bodyDiv w:val="1"/>
      <w:marLeft w:val="0"/>
      <w:marRight w:val="0"/>
      <w:marTop w:val="0"/>
      <w:marBottom w:val="0"/>
      <w:divBdr>
        <w:top w:val="none" w:sz="0" w:space="0" w:color="auto"/>
        <w:left w:val="none" w:sz="0" w:space="0" w:color="auto"/>
        <w:bottom w:val="none" w:sz="0" w:space="0" w:color="auto"/>
        <w:right w:val="none" w:sz="0" w:space="0" w:color="auto"/>
      </w:divBdr>
    </w:div>
    <w:div w:id="242372555">
      <w:bodyDiv w:val="1"/>
      <w:marLeft w:val="0"/>
      <w:marRight w:val="0"/>
      <w:marTop w:val="0"/>
      <w:marBottom w:val="0"/>
      <w:divBdr>
        <w:top w:val="none" w:sz="0" w:space="0" w:color="auto"/>
        <w:left w:val="none" w:sz="0" w:space="0" w:color="auto"/>
        <w:bottom w:val="none" w:sz="0" w:space="0" w:color="auto"/>
        <w:right w:val="none" w:sz="0" w:space="0" w:color="auto"/>
      </w:divBdr>
    </w:div>
    <w:div w:id="26288046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02335468">
      <w:bodyDiv w:val="1"/>
      <w:marLeft w:val="0"/>
      <w:marRight w:val="0"/>
      <w:marTop w:val="0"/>
      <w:marBottom w:val="0"/>
      <w:divBdr>
        <w:top w:val="none" w:sz="0" w:space="0" w:color="auto"/>
        <w:left w:val="none" w:sz="0" w:space="0" w:color="auto"/>
        <w:bottom w:val="none" w:sz="0" w:space="0" w:color="auto"/>
        <w:right w:val="none" w:sz="0" w:space="0" w:color="auto"/>
      </w:divBdr>
    </w:div>
    <w:div w:id="4478928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1666549">
      <w:bodyDiv w:val="1"/>
      <w:marLeft w:val="0"/>
      <w:marRight w:val="0"/>
      <w:marTop w:val="0"/>
      <w:marBottom w:val="0"/>
      <w:divBdr>
        <w:top w:val="none" w:sz="0" w:space="0" w:color="auto"/>
        <w:left w:val="none" w:sz="0" w:space="0" w:color="auto"/>
        <w:bottom w:val="none" w:sz="0" w:space="0" w:color="auto"/>
        <w:right w:val="none" w:sz="0" w:space="0" w:color="auto"/>
      </w:divBdr>
    </w:div>
    <w:div w:id="615412071">
      <w:bodyDiv w:val="1"/>
      <w:marLeft w:val="0"/>
      <w:marRight w:val="0"/>
      <w:marTop w:val="0"/>
      <w:marBottom w:val="0"/>
      <w:divBdr>
        <w:top w:val="none" w:sz="0" w:space="0" w:color="auto"/>
        <w:left w:val="none" w:sz="0" w:space="0" w:color="auto"/>
        <w:bottom w:val="none" w:sz="0" w:space="0" w:color="auto"/>
        <w:right w:val="none" w:sz="0" w:space="0" w:color="auto"/>
      </w:divBdr>
    </w:div>
    <w:div w:id="635448296">
      <w:bodyDiv w:val="1"/>
      <w:marLeft w:val="0"/>
      <w:marRight w:val="0"/>
      <w:marTop w:val="0"/>
      <w:marBottom w:val="0"/>
      <w:divBdr>
        <w:top w:val="none" w:sz="0" w:space="0" w:color="auto"/>
        <w:left w:val="none" w:sz="0" w:space="0" w:color="auto"/>
        <w:bottom w:val="none" w:sz="0" w:space="0" w:color="auto"/>
        <w:right w:val="none" w:sz="0" w:space="0" w:color="auto"/>
      </w:divBdr>
    </w:div>
    <w:div w:id="636111050">
      <w:bodyDiv w:val="1"/>
      <w:marLeft w:val="0"/>
      <w:marRight w:val="0"/>
      <w:marTop w:val="0"/>
      <w:marBottom w:val="0"/>
      <w:divBdr>
        <w:top w:val="none" w:sz="0" w:space="0" w:color="auto"/>
        <w:left w:val="none" w:sz="0" w:space="0" w:color="auto"/>
        <w:bottom w:val="none" w:sz="0" w:space="0" w:color="auto"/>
        <w:right w:val="none" w:sz="0" w:space="0" w:color="auto"/>
      </w:divBdr>
    </w:div>
    <w:div w:id="66266263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87891461">
      <w:bodyDiv w:val="1"/>
      <w:marLeft w:val="0"/>
      <w:marRight w:val="0"/>
      <w:marTop w:val="0"/>
      <w:marBottom w:val="0"/>
      <w:divBdr>
        <w:top w:val="none" w:sz="0" w:space="0" w:color="auto"/>
        <w:left w:val="none" w:sz="0" w:space="0" w:color="auto"/>
        <w:bottom w:val="none" w:sz="0" w:space="0" w:color="auto"/>
        <w:right w:val="none" w:sz="0" w:space="0" w:color="auto"/>
      </w:divBdr>
    </w:div>
    <w:div w:id="788402067">
      <w:bodyDiv w:val="1"/>
      <w:marLeft w:val="0"/>
      <w:marRight w:val="0"/>
      <w:marTop w:val="0"/>
      <w:marBottom w:val="0"/>
      <w:divBdr>
        <w:top w:val="none" w:sz="0" w:space="0" w:color="auto"/>
        <w:left w:val="none" w:sz="0" w:space="0" w:color="auto"/>
        <w:bottom w:val="none" w:sz="0" w:space="0" w:color="auto"/>
        <w:right w:val="none" w:sz="0" w:space="0" w:color="auto"/>
      </w:divBdr>
    </w:div>
    <w:div w:id="836116082">
      <w:bodyDiv w:val="1"/>
      <w:marLeft w:val="0"/>
      <w:marRight w:val="0"/>
      <w:marTop w:val="0"/>
      <w:marBottom w:val="0"/>
      <w:divBdr>
        <w:top w:val="none" w:sz="0" w:space="0" w:color="auto"/>
        <w:left w:val="none" w:sz="0" w:space="0" w:color="auto"/>
        <w:bottom w:val="none" w:sz="0" w:space="0" w:color="auto"/>
        <w:right w:val="none" w:sz="0" w:space="0" w:color="auto"/>
      </w:divBdr>
    </w:div>
    <w:div w:id="907613830">
      <w:bodyDiv w:val="1"/>
      <w:marLeft w:val="0"/>
      <w:marRight w:val="0"/>
      <w:marTop w:val="0"/>
      <w:marBottom w:val="0"/>
      <w:divBdr>
        <w:top w:val="none" w:sz="0" w:space="0" w:color="auto"/>
        <w:left w:val="none" w:sz="0" w:space="0" w:color="auto"/>
        <w:bottom w:val="none" w:sz="0" w:space="0" w:color="auto"/>
        <w:right w:val="none" w:sz="0" w:space="0" w:color="auto"/>
      </w:divBdr>
    </w:div>
    <w:div w:id="982273989">
      <w:bodyDiv w:val="1"/>
      <w:marLeft w:val="0"/>
      <w:marRight w:val="0"/>
      <w:marTop w:val="0"/>
      <w:marBottom w:val="0"/>
      <w:divBdr>
        <w:top w:val="none" w:sz="0" w:space="0" w:color="auto"/>
        <w:left w:val="none" w:sz="0" w:space="0" w:color="auto"/>
        <w:bottom w:val="none" w:sz="0" w:space="0" w:color="auto"/>
        <w:right w:val="none" w:sz="0" w:space="0" w:color="auto"/>
      </w:divBdr>
    </w:div>
    <w:div w:id="1113749942">
      <w:bodyDiv w:val="1"/>
      <w:marLeft w:val="0"/>
      <w:marRight w:val="0"/>
      <w:marTop w:val="0"/>
      <w:marBottom w:val="0"/>
      <w:divBdr>
        <w:top w:val="none" w:sz="0" w:space="0" w:color="auto"/>
        <w:left w:val="none" w:sz="0" w:space="0" w:color="auto"/>
        <w:bottom w:val="none" w:sz="0" w:space="0" w:color="auto"/>
        <w:right w:val="none" w:sz="0" w:space="0" w:color="auto"/>
      </w:divBdr>
    </w:div>
    <w:div w:id="11346428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78296081">
      <w:bodyDiv w:val="1"/>
      <w:marLeft w:val="0"/>
      <w:marRight w:val="0"/>
      <w:marTop w:val="0"/>
      <w:marBottom w:val="0"/>
      <w:divBdr>
        <w:top w:val="none" w:sz="0" w:space="0" w:color="auto"/>
        <w:left w:val="none" w:sz="0" w:space="0" w:color="auto"/>
        <w:bottom w:val="none" w:sz="0" w:space="0" w:color="auto"/>
        <w:right w:val="none" w:sz="0" w:space="0" w:color="auto"/>
      </w:divBdr>
    </w:div>
    <w:div w:id="1384908143">
      <w:bodyDiv w:val="1"/>
      <w:marLeft w:val="0"/>
      <w:marRight w:val="0"/>
      <w:marTop w:val="0"/>
      <w:marBottom w:val="0"/>
      <w:divBdr>
        <w:top w:val="none" w:sz="0" w:space="0" w:color="auto"/>
        <w:left w:val="none" w:sz="0" w:space="0" w:color="auto"/>
        <w:bottom w:val="none" w:sz="0" w:space="0" w:color="auto"/>
        <w:right w:val="none" w:sz="0" w:space="0" w:color="auto"/>
      </w:divBdr>
    </w:div>
    <w:div w:id="138949471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55072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78520454">
      <w:bodyDiv w:val="1"/>
      <w:marLeft w:val="0"/>
      <w:marRight w:val="0"/>
      <w:marTop w:val="0"/>
      <w:marBottom w:val="0"/>
      <w:divBdr>
        <w:top w:val="none" w:sz="0" w:space="0" w:color="auto"/>
        <w:left w:val="none" w:sz="0" w:space="0" w:color="auto"/>
        <w:bottom w:val="none" w:sz="0" w:space="0" w:color="auto"/>
        <w:right w:val="none" w:sz="0" w:space="0" w:color="auto"/>
      </w:divBdr>
    </w:div>
    <w:div w:id="1586769754">
      <w:bodyDiv w:val="1"/>
      <w:marLeft w:val="0"/>
      <w:marRight w:val="0"/>
      <w:marTop w:val="0"/>
      <w:marBottom w:val="0"/>
      <w:divBdr>
        <w:top w:val="none" w:sz="0" w:space="0" w:color="auto"/>
        <w:left w:val="none" w:sz="0" w:space="0" w:color="auto"/>
        <w:bottom w:val="none" w:sz="0" w:space="0" w:color="auto"/>
        <w:right w:val="none" w:sz="0" w:space="0" w:color="auto"/>
      </w:divBdr>
    </w:div>
    <w:div w:id="1675062736">
      <w:bodyDiv w:val="1"/>
      <w:marLeft w:val="0"/>
      <w:marRight w:val="0"/>
      <w:marTop w:val="0"/>
      <w:marBottom w:val="0"/>
      <w:divBdr>
        <w:top w:val="none" w:sz="0" w:space="0" w:color="auto"/>
        <w:left w:val="none" w:sz="0" w:space="0" w:color="auto"/>
        <w:bottom w:val="none" w:sz="0" w:space="0" w:color="auto"/>
        <w:right w:val="none" w:sz="0" w:space="0" w:color="auto"/>
      </w:divBdr>
    </w:div>
    <w:div w:id="1819951389">
      <w:bodyDiv w:val="1"/>
      <w:marLeft w:val="0"/>
      <w:marRight w:val="0"/>
      <w:marTop w:val="0"/>
      <w:marBottom w:val="0"/>
      <w:divBdr>
        <w:top w:val="none" w:sz="0" w:space="0" w:color="auto"/>
        <w:left w:val="none" w:sz="0" w:space="0" w:color="auto"/>
        <w:bottom w:val="none" w:sz="0" w:space="0" w:color="auto"/>
        <w:right w:val="none" w:sz="0" w:space="0" w:color="auto"/>
      </w:divBdr>
    </w:div>
    <w:div w:id="185514546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4273015">
      <w:bodyDiv w:val="1"/>
      <w:marLeft w:val="0"/>
      <w:marRight w:val="0"/>
      <w:marTop w:val="0"/>
      <w:marBottom w:val="0"/>
      <w:divBdr>
        <w:top w:val="none" w:sz="0" w:space="0" w:color="auto"/>
        <w:left w:val="none" w:sz="0" w:space="0" w:color="auto"/>
        <w:bottom w:val="none" w:sz="0" w:space="0" w:color="auto"/>
        <w:right w:val="none" w:sz="0" w:space="0" w:color="auto"/>
      </w:divBdr>
    </w:div>
    <w:div w:id="1899710285">
      <w:bodyDiv w:val="1"/>
      <w:marLeft w:val="0"/>
      <w:marRight w:val="0"/>
      <w:marTop w:val="0"/>
      <w:marBottom w:val="0"/>
      <w:divBdr>
        <w:top w:val="none" w:sz="0" w:space="0" w:color="auto"/>
        <w:left w:val="none" w:sz="0" w:space="0" w:color="auto"/>
        <w:bottom w:val="none" w:sz="0" w:space="0" w:color="auto"/>
        <w:right w:val="none" w:sz="0" w:space="0" w:color="auto"/>
      </w:divBdr>
    </w:div>
    <w:div w:id="1933539589">
      <w:bodyDiv w:val="1"/>
      <w:marLeft w:val="0"/>
      <w:marRight w:val="0"/>
      <w:marTop w:val="0"/>
      <w:marBottom w:val="0"/>
      <w:divBdr>
        <w:top w:val="none" w:sz="0" w:space="0" w:color="auto"/>
        <w:left w:val="none" w:sz="0" w:space="0" w:color="auto"/>
        <w:bottom w:val="none" w:sz="0" w:space="0" w:color="auto"/>
        <w:right w:val="none" w:sz="0" w:space="0" w:color="auto"/>
      </w:divBdr>
    </w:div>
    <w:div w:id="1957787825">
      <w:bodyDiv w:val="1"/>
      <w:marLeft w:val="0"/>
      <w:marRight w:val="0"/>
      <w:marTop w:val="0"/>
      <w:marBottom w:val="0"/>
      <w:divBdr>
        <w:top w:val="none" w:sz="0" w:space="0" w:color="auto"/>
        <w:left w:val="none" w:sz="0" w:space="0" w:color="auto"/>
        <w:bottom w:val="none" w:sz="0" w:space="0" w:color="auto"/>
        <w:right w:val="none" w:sz="0" w:space="0" w:color="auto"/>
      </w:divBdr>
    </w:div>
    <w:div w:id="2003579851">
      <w:bodyDiv w:val="1"/>
      <w:marLeft w:val="0"/>
      <w:marRight w:val="0"/>
      <w:marTop w:val="0"/>
      <w:marBottom w:val="0"/>
      <w:divBdr>
        <w:top w:val="none" w:sz="0" w:space="0" w:color="auto"/>
        <w:left w:val="none" w:sz="0" w:space="0" w:color="auto"/>
        <w:bottom w:val="none" w:sz="0" w:space="0" w:color="auto"/>
        <w:right w:val="none" w:sz="0" w:space="0" w:color="auto"/>
      </w:divBdr>
    </w:div>
    <w:div w:id="207612837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libor.holy@czso.cz"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8"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NIC~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354D-9E10-43B9-8947-DD03671E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182</TotalTime>
  <Pages>22</Pages>
  <Words>6546</Words>
  <Characters>38626</Characters>
  <Application>Microsoft Office Word</Application>
  <DocSecurity>0</DocSecurity>
  <Lines>321</Lines>
  <Paragraphs>90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45082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Jitka Řezníčková</dc:creator>
  <cp:lastModifiedBy>palivcova5849</cp:lastModifiedBy>
  <cp:revision>25</cp:revision>
  <cp:lastPrinted>2021-01-20T13:22:00Z</cp:lastPrinted>
  <dcterms:created xsi:type="dcterms:W3CDTF">2021-01-25T08:58:00Z</dcterms:created>
  <dcterms:modified xsi:type="dcterms:W3CDTF">2021-01-25T14:15:00Z</dcterms:modified>
</cp:coreProperties>
</file>